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textAlignment w:val="auto"/>
        <w:rPr>
          <w:rFonts w:eastAsia="黑体"/>
          <w:kern w:val="0"/>
          <w:sz w:val="36"/>
          <w:szCs w:val="36"/>
        </w:rPr>
      </w:pPr>
      <w:r>
        <w:rPr>
          <w:rFonts w:eastAsia="黑体"/>
          <w:kern w:val="0"/>
          <w:sz w:val="36"/>
          <w:szCs w:val="36"/>
        </w:rPr>
        <w:t xml:space="preserve">                                                                                                                                                                                                                                                                                                                                                                                                                                                                                                                                                                                                                                                                                                                                                                         </w:t>
      </w:r>
      <w:r>
        <w:rPr>
          <w:rFonts w:hint="eastAsia" w:eastAsia="黑体"/>
          <w:kern w:val="0"/>
          <w:sz w:val="36"/>
          <w:szCs w:val="36"/>
          <w:lang w:eastAsia="zh-CN"/>
        </w:rPr>
        <w:t>石油化工分子转化与反应工程全国</w:t>
      </w:r>
      <w:r>
        <w:rPr>
          <w:rFonts w:eastAsia="黑体"/>
          <w:kern w:val="0"/>
          <w:sz w:val="36"/>
          <w:szCs w:val="36"/>
        </w:rPr>
        <w:t>重点实验室</w:t>
      </w:r>
    </w:p>
    <w:p>
      <w:pPr>
        <w:keepNext w:val="0"/>
        <w:keepLines w:val="0"/>
        <w:pageBreakBefore w:val="0"/>
        <w:kinsoku/>
        <w:wordWrap/>
        <w:overflowPunct/>
        <w:topLinePunct w:val="0"/>
        <w:autoSpaceDE/>
        <w:autoSpaceDN/>
        <w:bidi w:val="0"/>
        <w:spacing w:line="360" w:lineRule="auto"/>
        <w:jc w:val="center"/>
        <w:textAlignment w:val="auto"/>
        <w:rPr>
          <w:rFonts w:eastAsia="黑体"/>
          <w:kern w:val="0"/>
          <w:sz w:val="36"/>
          <w:szCs w:val="36"/>
        </w:rPr>
      </w:pPr>
      <w:r>
        <w:rPr>
          <w:rFonts w:eastAsia="黑体"/>
          <w:kern w:val="0"/>
          <w:sz w:val="36"/>
          <w:szCs w:val="36"/>
        </w:rPr>
        <w:t>202</w:t>
      </w:r>
      <w:r>
        <w:rPr>
          <w:rFonts w:hint="eastAsia" w:eastAsia="黑体"/>
          <w:kern w:val="0"/>
          <w:sz w:val="36"/>
          <w:szCs w:val="36"/>
          <w:lang w:val="en-US" w:eastAsia="zh-CN"/>
        </w:rPr>
        <w:t>5</w:t>
      </w:r>
      <w:r>
        <w:rPr>
          <w:rFonts w:eastAsia="黑体"/>
          <w:kern w:val="0"/>
          <w:sz w:val="36"/>
          <w:szCs w:val="36"/>
        </w:rPr>
        <w:t>年开放课题申请指南</w:t>
      </w:r>
    </w:p>
    <w:p>
      <w:pPr>
        <w:keepNext w:val="0"/>
        <w:keepLines w:val="0"/>
        <w:pageBreakBefore w:val="0"/>
        <w:kinsoku/>
        <w:wordWrap/>
        <w:overflowPunct/>
        <w:topLinePunct w:val="0"/>
        <w:autoSpaceDE/>
        <w:autoSpaceDN/>
        <w:bidi w:val="0"/>
        <w:spacing w:line="360" w:lineRule="auto"/>
        <w:jc w:val="center"/>
        <w:textAlignment w:val="auto"/>
        <w:rPr>
          <w:rFonts w:eastAsia="黑体"/>
          <w:kern w:val="0"/>
          <w:sz w:val="36"/>
          <w:szCs w:val="36"/>
        </w:rPr>
      </w:pPr>
    </w:p>
    <w:p>
      <w:pPr>
        <w:keepNext w:val="0"/>
        <w:keepLines w:val="0"/>
        <w:pageBreakBefore w:val="0"/>
        <w:kinsoku/>
        <w:wordWrap/>
        <w:overflowPunct/>
        <w:topLinePunct w:val="0"/>
        <w:autoSpaceDE/>
        <w:autoSpaceDN/>
        <w:bidi w:val="0"/>
        <w:adjustRightInd w:val="0"/>
        <w:snapToGrid w:val="0"/>
        <w:spacing w:line="360" w:lineRule="auto"/>
        <w:ind w:firstLine="672" w:firstLineChars="240"/>
        <w:textAlignment w:val="auto"/>
        <w:rPr>
          <w:rFonts w:eastAsia="仿宋_GB2312"/>
          <w:sz w:val="28"/>
          <w:szCs w:val="28"/>
        </w:rPr>
      </w:pPr>
      <w:r>
        <w:rPr>
          <w:rFonts w:hint="eastAsia" w:eastAsia="仿宋_GB2312"/>
          <w:sz w:val="28"/>
          <w:szCs w:val="28"/>
        </w:rPr>
        <w:t>石油化工分子转化与反应工程全国重点实验室</w:t>
      </w:r>
      <w:r>
        <w:rPr>
          <w:rFonts w:hint="eastAsia" w:eastAsia="仿宋_GB2312"/>
          <w:sz w:val="28"/>
          <w:szCs w:val="28"/>
          <w:lang w:eastAsia="zh-CN"/>
        </w:rPr>
        <w:t>由原“石油化工催化材料与反应工程国家重点实验室”优化调整后成立，</w:t>
      </w:r>
      <w:r>
        <w:rPr>
          <w:rFonts w:hint="eastAsia" w:eastAsia="仿宋_GB2312"/>
          <w:sz w:val="28"/>
          <w:szCs w:val="28"/>
        </w:rPr>
        <w:t>依托“中石化石油化工科学研究院有限公司”（以下简称“石科院”）和华东师范大学，联合中国科学院过程工程研究所运行与管理</w:t>
      </w:r>
      <w:r>
        <w:rPr>
          <w:rFonts w:hint="eastAsia" w:eastAsia="仿宋_GB2312"/>
          <w:sz w:val="28"/>
          <w:szCs w:val="28"/>
          <w:lang w:eastAsia="zh-CN"/>
        </w:rPr>
        <w:t>。</w:t>
      </w:r>
      <w:r>
        <w:rPr>
          <w:rFonts w:eastAsia="仿宋_GB2312"/>
          <w:sz w:val="28"/>
          <w:szCs w:val="28"/>
        </w:rPr>
        <w:t>实验室设置</w:t>
      </w:r>
      <w:r>
        <w:rPr>
          <w:rFonts w:hint="eastAsia" w:eastAsia="仿宋_GB2312"/>
          <w:sz w:val="28"/>
          <w:szCs w:val="28"/>
          <w:lang w:eastAsia="zh-CN"/>
        </w:rPr>
        <w:t>三</w:t>
      </w:r>
      <w:r>
        <w:rPr>
          <w:rFonts w:eastAsia="仿宋_GB2312"/>
          <w:sz w:val="28"/>
          <w:szCs w:val="28"/>
        </w:rPr>
        <w:t>个研究方向：（1）</w:t>
      </w:r>
      <w:r>
        <w:rPr>
          <w:rFonts w:hint="eastAsia" w:eastAsia="仿宋_GB2312"/>
          <w:sz w:val="28"/>
          <w:szCs w:val="28"/>
        </w:rPr>
        <w:t>分子水平炼油技术</w:t>
      </w:r>
      <w:r>
        <w:rPr>
          <w:rFonts w:eastAsia="仿宋_GB2312"/>
          <w:sz w:val="28"/>
          <w:szCs w:val="28"/>
        </w:rPr>
        <w:t>；（2）</w:t>
      </w:r>
      <w:r>
        <w:rPr>
          <w:rFonts w:hint="eastAsia" w:eastAsia="仿宋_GB2312"/>
          <w:sz w:val="28"/>
          <w:szCs w:val="28"/>
        </w:rPr>
        <w:t>原子经济化工技术</w:t>
      </w:r>
      <w:r>
        <w:rPr>
          <w:rFonts w:hint="eastAsia" w:eastAsia="仿宋_GB2312"/>
          <w:sz w:val="28"/>
          <w:szCs w:val="28"/>
          <w:lang w:eastAsia="zh-CN"/>
        </w:rPr>
        <w:t>；（</w:t>
      </w:r>
      <w:r>
        <w:rPr>
          <w:rFonts w:hint="eastAsia" w:eastAsia="仿宋_GB2312"/>
          <w:sz w:val="28"/>
          <w:szCs w:val="28"/>
          <w:lang w:val="en-US" w:eastAsia="zh-CN"/>
        </w:rPr>
        <w:t>3</w:t>
      </w:r>
      <w:r>
        <w:rPr>
          <w:rFonts w:hint="eastAsia" w:eastAsia="仿宋_GB2312"/>
          <w:sz w:val="28"/>
          <w:szCs w:val="28"/>
          <w:lang w:eastAsia="zh-CN"/>
        </w:rPr>
        <w:t>）绿色低碳能源技术</w:t>
      </w:r>
      <w:r>
        <w:rPr>
          <w:rFonts w:eastAsia="仿宋_GB2312"/>
          <w:sz w:val="28"/>
          <w:szCs w:val="28"/>
        </w:rPr>
        <w:t>。以这</w:t>
      </w:r>
      <w:r>
        <w:rPr>
          <w:rFonts w:hint="eastAsia" w:eastAsia="仿宋_GB2312"/>
          <w:sz w:val="28"/>
          <w:szCs w:val="28"/>
          <w:lang w:eastAsia="zh-CN"/>
        </w:rPr>
        <w:t>三</w:t>
      </w:r>
      <w:r>
        <w:rPr>
          <w:rFonts w:eastAsia="仿宋_GB2312"/>
          <w:sz w:val="28"/>
          <w:szCs w:val="28"/>
        </w:rPr>
        <w:t>个研究方向为基础，</w:t>
      </w:r>
      <w:r>
        <w:rPr>
          <w:rFonts w:hint="eastAsia" w:eastAsia="仿宋_GB2312"/>
          <w:sz w:val="28"/>
          <w:szCs w:val="28"/>
        </w:rPr>
        <w:t>以石油化工分子转化为核心，开展催化材料的设计与合成、绿色化学与工程和绿色过程系统集成的应用基础研究，解决关键科学问题和工程技术难题，为我国石油化工行业实现产业转型和“双碳”目标提供基础理论和方法，为构建我国独特高效-低碳-绿色石油化工分子转化和绿色低碳能源体系提供科技支撑，形成原创性的石油化工低碳绿色过程知识平台和技术平台</w:t>
      </w:r>
      <w:r>
        <w:rPr>
          <w:rFonts w:eastAsia="仿宋_GB2312"/>
          <w:sz w:val="28"/>
          <w:szCs w:val="28"/>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根据“开放、联合、流动、竞争”的运行机制，实验室重视多学科、多专业的相互渗透，鼓励相关学科的相互结合和集成。所以，实验室热忱欢迎和邀请各有关领域的国内外科研人员进行合作研究，共同推动我国石油化工催化材料和反应工程科学的发展。</w:t>
      </w:r>
      <w:r>
        <w:rPr>
          <w:rFonts w:eastAsia="仿宋_GB2312"/>
          <w:kern w:val="0"/>
          <w:sz w:val="28"/>
          <w:szCs w:val="28"/>
        </w:rPr>
        <w:br w:type="textWrapping"/>
      </w:r>
      <w:r>
        <w:rPr>
          <w:rFonts w:hint="eastAsia" w:eastAsia="仿宋_GB2312"/>
          <w:kern w:val="0"/>
          <w:sz w:val="28"/>
          <w:szCs w:val="28"/>
          <w:lang w:val="en-US" w:eastAsia="zh-CN"/>
        </w:rPr>
        <w:t xml:space="preserve">    </w:t>
      </w:r>
      <w:r>
        <w:rPr>
          <w:rFonts w:eastAsia="仿宋_GB2312"/>
          <w:kern w:val="0"/>
          <w:sz w:val="28"/>
          <w:szCs w:val="28"/>
        </w:rPr>
        <w:t>1、开放基金申请对象</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课题申请者一般应具有高级专业技术职称或具有博士学位，在与本实验室研究方向的相关领域取得一定的科研成果，所申请的课题已具备相应的前期研究工作基础。</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申请人不具有高级专业技术职务或博士学位，须有两名具有高级专业技术职务的同行专家书面推荐，申请人申报的课题须经所在单位同意并签章。</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2、开放基金说明</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(1)开放基金主要资助与本实验室研究方向相关的课题，具体方向参见本指南附表。</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(2)本年度每项目课题研究期限一般不超过</w:t>
      </w:r>
      <w:r>
        <w:rPr>
          <w:rFonts w:hint="eastAsia" w:eastAsia="仿宋_GB2312"/>
          <w:kern w:val="0"/>
          <w:sz w:val="28"/>
          <w:szCs w:val="28"/>
        </w:rPr>
        <w:t>两</w:t>
      </w:r>
      <w:r>
        <w:rPr>
          <w:rFonts w:eastAsia="仿宋_GB2312"/>
          <w:kern w:val="0"/>
          <w:sz w:val="28"/>
          <w:szCs w:val="28"/>
        </w:rPr>
        <w:t>年。</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(3)经费支持额度原则上为每项不超过20万元。</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(4)</w:t>
      </w:r>
      <w:r>
        <w:rPr>
          <w:rFonts w:eastAsia="仿宋_GB2312"/>
          <w:sz w:val="24"/>
        </w:rPr>
        <w:t xml:space="preserve"> </w:t>
      </w:r>
      <w:r>
        <w:rPr>
          <w:rFonts w:eastAsia="仿宋_GB2312"/>
          <w:kern w:val="0"/>
          <w:sz w:val="28"/>
          <w:szCs w:val="28"/>
        </w:rPr>
        <w:t>申请人每半年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实验室做结题/学术报告。本实验室将根据进展情况有权终止资助进展不好的研究课题。</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(5)凡经本实验室开放基金资助的课题，其研究成果由本实验室及研究者所在单位共享。由开放基金资助课题发表的研究论文、学位论文应注明第一资助单位</w:t>
      </w:r>
      <w:r>
        <w:rPr>
          <w:rFonts w:hint="eastAsia" w:eastAsia="仿宋_GB2312"/>
          <w:kern w:val="0"/>
          <w:sz w:val="28"/>
          <w:szCs w:val="28"/>
        </w:rPr>
        <w:t>“</w:t>
      </w:r>
      <w:r>
        <w:rPr>
          <w:rFonts w:hint="eastAsia" w:eastAsia="仿宋_GB2312"/>
          <w:sz w:val="28"/>
          <w:szCs w:val="28"/>
        </w:rPr>
        <w:t>石油化工分子转化与反应工程全国重点实验室</w:t>
      </w:r>
      <w:r>
        <w:rPr>
          <w:rFonts w:eastAsia="仿宋_GB2312"/>
          <w:kern w:val="0"/>
          <w:sz w:val="28"/>
          <w:szCs w:val="28"/>
        </w:rPr>
        <w:t>（</w:t>
      </w:r>
      <w:r>
        <w:rPr>
          <w:rFonts w:hint="eastAsia" w:eastAsia="仿宋_GB2312"/>
          <w:kern w:val="0"/>
          <w:sz w:val="28"/>
          <w:szCs w:val="28"/>
          <w:lang w:eastAsia="zh-CN"/>
        </w:rPr>
        <w:t>中石化</w:t>
      </w:r>
      <w:r>
        <w:rPr>
          <w:rFonts w:eastAsia="仿宋_GB2312"/>
          <w:kern w:val="0"/>
          <w:sz w:val="28"/>
          <w:szCs w:val="28"/>
        </w:rPr>
        <w:t>石油化工科学研究院</w:t>
      </w:r>
      <w:r>
        <w:rPr>
          <w:rFonts w:hint="eastAsia" w:eastAsia="仿宋_GB2312"/>
          <w:kern w:val="0"/>
          <w:sz w:val="28"/>
          <w:szCs w:val="28"/>
          <w:lang w:eastAsia="zh-CN"/>
        </w:rPr>
        <w:t>有限公司</w:t>
      </w:r>
      <w:r>
        <w:rPr>
          <w:rFonts w:eastAsia="仿宋_GB2312"/>
          <w:kern w:val="0"/>
          <w:sz w:val="28"/>
          <w:szCs w:val="28"/>
        </w:rPr>
        <w:t xml:space="preserve">）开放基金课题资助，Supported by </w:t>
      </w:r>
      <w:r>
        <w:rPr>
          <w:rFonts w:hint="eastAsia" w:eastAsia="仿宋_GB2312"/>
          <w:kern w:val="0"/>
          <w:sz w:val="28"/>
          <w:szCs w:val="28"/>
        </w:rPr>
        <w:t>State Key Laboratory of Petroleum Molecular &amp; Process Engineering</w:t>
      </w:r>
      <w:r>
        <w:rPr>
          <w:rFonts w:eastAsia="仿宋_GB2312"/>
          <w:kern w:val="0"/>
          <w:sz w:val="28"/>
          <w:szCs w:val="28"/>
        </w:rPr>
        <w:t>（RIPP, SINOPEC）”。</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3、开放基金申请程序</w:t>
      </w:r>
      <w:r>
        <w:rPr>
          <w:rFonts w:eastAsia="仿宋_GB2312"/>
          <w:kern w:val="0"/>
          <w:sz w:val="28"/>
          <w:szCs w:val="28"/>
        </w:rPr>
        <w:br w:type="textWrapping"/>
      </w:r>
      <w:r>
        <w:rPr>
          <w:rFonts w:eastAsia="仿宋_GB2312"/>
          <w:kern w:val="0"/>
          <w:sz w:val="28"/>
          <w:szCs w:val="28"/>
        </w:rPr>
        <w:t xml:space="preserve"> </w:t>
      </w:r>
      <w:r>
        <w:rPr>
          <w:rFonts w:hint="eastAsia" w:eastAsia="仿宋_GB2312"/>
          <w:kern w:val="0"/>
          <w:sz w:val="28"/>
          <w:szCs w:val="28"/>
          <w:lang w:val="en-US" w:eastAsia="zh-CN"/>
        </w:rPr>
        <w:t xml:space="preserve">   </w:t>
      </w:r>
      <w:r>
        <w:rPr>
          <w:rFonts w:eastAsia="仿宋_GB2312"/>
          <w:kern w:val="0"/>
          <w:sz w:val="28"/>
          <w:szCs w:val="28"/>
        </w:rPr>
        <w:t>(1)申请人根据实验室开放基金的主要资助方向(见附表)填写“开题报告”和“查新报告”一式</w:t>
      </w:r>
      <w:r>
        <w:rPr>
          <w:rFonts w:hint="eastAsia" w:eastAsia="仿宋_GB2312"/>
          <w:kern w:val="0"/>
          <w:sz w:val="28"/>
          <w:szCs w:val="28"/>
        </w:rPr>
        <w:t>两</w:t>
      </w:r>
      <w:r>
        <w:rPr>
          <w:rFonts w:eastAsia="仿宋_GB2312"/>
          <w:kern w:val="0"/>
          <w:sz w:val="28"/>
          <w:szCs w:val="28"/>
        </w:rPr>
        <w:t>份。经所在单位盖章推荐，向本实验室提出申请，同时提交电子版。本年度开放基金申请截止日期为202</w:t>
      </w:r>
      <w:r>
        <w:rPr>
          <w:rFonts w:hint="eastAsia" w:eastAsia="仿宋_GB2312"/>
          <w:kern w:val="0"/>
          <w:sz w:val="28"/>
          <w:szCs w:val="28"/>
          <w:lang w:val="en-US" w:eastAsia="zh-CN"/>
        </w:rPr>
        <w:t>4</w:t>
      </w:r>
      <w:r>
        <w:rPr>
          <w:rFonts w:eastAsia="仿宋_GB2312"/>
          <w:kern w:val="0"/>
          <w:sz w:val="28"/>
          <w:szCs w:val="28"/>
        </w:rPr>
        <w:t>年</w:t>
      </w:r>
      <w:r>
        <w:rPr>
          <w:rFonts w:hint="eastAsia" w:eastAsia="仿宋_GB2312"/>
          <w:kern w:val="0"/>
          <w:sz w:val="28"/>
          <w:szCs w:val="28"/>
          <w:lang w:val="en-US" w:eastAsia="zh-CN"/>
        </w:rPr>
        <w:t>8</w:t>
      </w:r>
      <w:r>
        <w:rPr>
          <w:rFonts w:eastAsia="仿宋_GB2312"/>
          <w:kern w:val="0"/>
          <w:sz w:val="28"/>
          <w:szCs w:val="28"/>
        </w:rPr>
        <w:t>月3</w:t>
      </w:r>
      <w:r>
        <w:rPr>
          <w:rFonts w:hint="eastAsia" w:eastAsia="仿宋_GB2312"/>
          <w:kern w:val="0"/>
          <w:sz w:val="28"/>
          <w:szCs w:val="28"/>
          <w:lang w:val="en-US" w:eastAsia="zh-CN"/>
        </w:rPr>
        <w:t>1</w:t>
      </w:r>
      <w:r>
        <w:rPr>
          <w:rFonts w:eastAsia="仿宋_GB2312"/>
          <w:kern w:val="0"/>
          <w:sz w:val="28"/>
          <w:szCs w:val="28"/>
        </w:rPr>
        <w:t>日。</w:t>
      </w:r>
      <w:r>
        <w:rPr>
          <w:rFonts w:eastAsia="仿宋_GB2312"/>
          <w:kern w:val="0"/>
          <w:sz w:val="28"/>
          <w:szCs w:val="28"/>
        </w:rPr>
        <w:br w:type="textWrapping"/>
      </w:r>
      <w:r>
        <w:rPr>
          <w:rFonts w:hint="eastAsia" w:eastAsia="仿宋_GB2312"/>
          <w:kern w:val="0"/>
          <w:sz w:val="28"/>
          <w:szCs w:val="28"/>
          <w:lang w:val="en-US" w:eastAsia="zh-CN"/>
        </w:rPr>
        <w:t xml:space="preserve">    </w:t>
      </w:r>
      <w:r>
        <w:rPr>
          <w:rFonts w:eastAsia="仿宋_GB2312"/>
          <w:kern w:val="0"/>
          <w:sz w:val="28"/>
          <w:szCs w:val="28"/>
        </w:rPr>
        <w:t>(2)实验室组织有关专家对提交的申请书进行评审，确定资助项目和金额，并通知获得资助的申请人。</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kern w:val="0"/>
          <w:sz w:val="28"/>
          <w:szCs w:val="28"/>
        </w:rPr>
        <w:t>4、联系人：</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eastAsia="仿宋_GB2312"/>
          <w:kern w:val="0"/>
          <w:sz w:val="28"/>
          <w:szCs w:val="28"/>
          <w:lang w:eastAsia="zh-CN"/>
        </w:rPr>
      </w:pPr>
      <w:r>
        <w:rPr>
          <w:rFonts w:hint="eastAsia" w:eastAsia="仿宋_GB2312"/>
          <w:kern w:val="0"/>
          <w:sz w:val="28"/>
          <w:szCs w:val="28"/>
          <w:lang w:eastAsia="zh-CN"/>
        </w:rPr>
        <w:t>周丽娜</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sz w:val="28"/>
          <w:szCs w:val="28"/>
        </w:rPr>
      </w:pPr>
      <w:r>
        <w:rPr>
          <w:rFonts w:eastAsia="仿宋_GB2312"/>
          <w:sz w:val="28"/>
          <w:szCs w:val="28"/>
        </w:rPr>
        <w:t>中国石油化工股份有限公司</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eastAsia="仿宋_GB2312"/>
          <w:kern w:val="0"/>
          <w:sz w:val="28"/>
          <w:szCs w:val="28"/>
        </w:rPr>
      </w:pPr>
      <w:r>
        <w:rPr>
          <w:rFonts w:hint="eastAsia" w:eastAsia="仿宋_GB2312"/>
          <w:sz w:val="28"/>
          <w:szCs w:val="28"/>
        </w:rPr>
        <w:t>石油化工分子转化与反应工程全国重点实验室</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eastAsia="仿宋_GB2312"/>
          <w:kern w:val="0"/>
          <w:sz w:val="28"/>
          <w:szCs w:val="28"/>
          <w:lang w:val="en-US" w:eastAsia="zh-CN"/>
        </w:rPr>
      </w:pPr>
      <w:r>
        <w:rPr>
          <w:rFonts w:eastAsia="仿宋_GB2312"/>
          <w:kern w:val="0"/>
          <w:sz w:val="28"/>
          <w:szCs w:val="28"/>
        </w:rPr>
        <w:t>通信地址：北京市</w:t>
      </w:r>
      <w:r>
        <w:rPr>
          <w:rFonts w:hint="eastAsia" w:eastAsia="仿宋_GB2312"/>
          <w:kern w:val="0"/>
          <w:sz w:val="28"/>
          <w:szCs w:val="28"/>
          <w:lang w:eastAsia="zh-CN"/>
        </w:rPr>
        <w:t>海淀区学院路</w:t>
      </w:r>
      <w:r>
        <w:rPr>
          <w:rFonts w:hint="eastAsia" w:eastAsia="仿宋_GB2312"/>
          <w:kern w:val="0"/>
          <w:sz w:val="28"/>
          <w:szCs w:val="28"/>
          <w:lang w:val="en-US" w:eastAsia="zh-CN"/>
        </w:rPr>
        <w:t>18号</w:t>
      </w:r>
    </w:p>
    <w:p>
      <w:pPr>
        <w:keepNext w:val="0"/>
        <w:keepLines w:val="0"/>
        <w:pageBreakBefore w:val="0"/>
        <w:kinsoku/>
        <w:wordWrap/>
        <w:overflowPunct/>
        <w:topLinePunct w:val="0"/>
        <w:autoSpaceDE/>
        <w:autoSpaceDN/>
        <w:bidi w:val="0"/>
        <w:adjustRightInd w:val="0"/>
        <w:snapToGrid w:val="0"/>
        <w:spacing w:line="360" w:lineRule="auto"/>
        <w:ind w:left="280" w:firstLine="280" w:firstLineChars="100"/>
        <w:textAlignment w:val="auto"/>
        <w:rPr>
          <w:rFonts w:hint="default" w:eastAsia="仿宋_GB2312"/>
          <w:kern w:val="0"/>
          <w:sz w:val="28"/>
          <w:szCs w:val="28"/>
          <w:lang w:val="en-US" w:eastAsia="zh-CN"/>
        </w:rPr>
      </w:pPr>
      <w:r>
        <w:rPr>
          <w:rFonts w:eastAsia="仿宋_GB2312"/>
          <w:kern w:val="0"/>
          <w:sz w:val="28"/>
          <w:szCs w:val="28"/>
        </w:rPr>
        <w:t>邮编：10</w:t>
      </w:r>
      <w:r>
        <w:rPr>
          <w:rFonts w:hint="eastAsia" w:eastAsia="仿宋_GB2312"/>
          <w:kern w:val="0"/>
          <w:sz w:val="28"/>
          <w:szCs w:val="28"/>
          <w:lang w:val="en-US" w:eastAsia="zh-CN"/>
        </w:rPr>
        <w:t>0083</w:t>
      </w:r>
    </w:p>
    <w:p>
      <w:pPr>
        <w:keepNext w:val="0"/>
        <w:keepLines w:val="0"/>
        <w:pageBreakBefore w:val="0"/>
        <w:kinsoku/>
        <w:wordWrap/>
        <w:overflowPunct/>
        <w:topLinePunct w:val="0"/>
        <w:autoSpaceDE/>
        <w:autoSpaceDN/>
        <w:bidi w:val="0"/>
        <w:adjustRightInd w:val="0"/>
        <w:snapToGrid w:val="0"/>
        <w:spacing w:line="360" w:lineRule="auto"/>
        <w:ind w:left="420" w:firstLine="140"/>
        <w:textAlignment w:val="auto"/>
        <w:rPr>
          <w:rFonts w:hint="default" w:eastAsia="仿宋_GB2312"/>
          <w:kern w:val="0"/>
          <w:sz w:val="28"/>
          <w:szCs w:val="28"/>
          <w:lang w:val="en-US" w:eastAsia="zh-CN"/>
        </w:rPr>
      </w:pPr>
      <w:r>
        <w:rPr>
          <w:rFonts w:hint="eastAsia" w:eastAsia="仿宋_GB2312"/>
          <w:kern w:val="0"/>
          <w:sz w:val="28"/>
          <w:szCs w:val="28"/>
        </w:rPr>
        <w:t>电话：</w:t>
      </w:r>
      <w:r>
        <w:rPr>
          <w:rFonts w:eastAsia="仿宋_GB2312"/>
          <w:kern w:val="0"/>
          <w:sz w:val="28"/>
          <w:szCs w:val="28"/>
        </w:rPr>
        <w:t>010-823</w:t>
      </w:r>
      <w:r>
        <w:rPr>
          <w:rFonts w:hint="eastAsia" w:eastAsia="仿宋_GB2312"/>
          <w:kern w:val="0"/>
          <w:sz w:val="28"/>
          <w:szCs w:val="28"/>
          <w:lang w:val="en-US" w:eastAsia="zh-CN"/>
        </w:rPr>
        <w:t>68301</w:t>
      </w:r>
    </w:p>
    <w:p>
      <w:pPr>
        <w:keepNext w:val="0"/>
        <w:keepLines w:val="0"/>
        <w:pageBreakBefore w:val="0"/>
        <w:kinsoku/>
        <w:wordWrap/>
        <w:overflowPunct/>
        <w:topLinePunct w:val="0"/>
        <w:autoSpaceDE/>
        <w:autoSpaceDN/>
        <w:bidi w:val="0"/>
        <w:adjustRightInd w:val="0"/>
        <w:snapToGrid w:val="0"/>
        <w:spacing w:line="360" w:lineRule="auto"/>
        <w:ind w:left="420" w:firstLine="140"/>
        <w:textAlignment w:val="auto"/>
        <w:rPr>
          <w:rFonts w:hint="default" w:eastAsia="仿宋_GB2312"/>
          <w:kern w:val="0"/>
          <w:sz w:val="28"/>
          <w:szCs w:val="28"/>
          <w:lang w:val="en-US" w:eastAsia="zh-CN"/>
        </w:rPr>
      </w:pPr>
      <w:r>
        <w:rPr>
          <w:rFonts w:hint="eastAsia" w:eastAsia="仿宋_GB2312"/>
          <w:kern w:val="0"/>
          <w:sz w:val="28"/>
          <w:szCs w:val="28"/>
        </w:rPr>
        <w:t>手机</w:t>
      </w:r>
      <w:r>
        <w:rPr>
          <w:rFonts w:eastAsia="仿宋_GB2312"/>
          <w:kern w:val="0"/>
          <w:sz w:val="28"/>
          <w:szCs w:val="28"/>
        </w:rPr>
        <w:t>：</w:t>
      </w:r>
      <w:r>
        <w:rPr>
          <w:rFonts w:hint="eastAsia" w:eastAsia="仿宋_GB2312"/>
          <w:kern w:val="0"/>
          <w:sz w:val="28"/>
          <w:szCs w:val="28"/>
          <w:lang w:val="en-US" w:eastAsia="zh-CN"/>
        </w:rPr>
        <w:t>13311585752</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eastAsia="仿宋_GB2312"/>
          <w:sz w:val="28"/>
          <w:szCs w:val="28"/>
          <w:u w:val="single"/>
        </w:rPr>
      </w:pPr>
      <w:r>
        <w:rPr>
          <w:rFonts w:eastAsia="仿宋_GB2312"/>
          <w:kern w:val="0"/>
          <w:sz w:val="28"/>
          <w:szCs w:val="28"/>
        </w:rPr>
        <w:t>电子邮件：</w:t>
      </w:r>
      <w:r>
        <w:rPr>
          <w:rFonts w:hint="eastAsia" w:eastAsia="仿宋_GB2312"/>
          <w:kern w:val="0"/>
          <w:sz w:val="28"/>
          <w:szCs w:val="28"/>
          <w:lang w:val="en-US" w:eastAsia="zh-CN"/>
        </w:rPr>
        <w:t>zhouln</w:t>
      </w:r>
      <w:r>
        <w:rPr>
          <w:rFonts w:eastAsia="仿宋_GB2312"/>
          <w:kern w:val="0"/>
          <w:sz w:val="28"/>
          <w:szCs w:val="28"/>
        </w:rPr>
        <w:t>.ripp@sinopec.com</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sz w:val="24"/>
        </w:rPr>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widowControl/>
        <w:kinsoku/>
        <w:wordWrap/>
        <w:overflowPunct/>
        <w:topLinePunct w:val="0"/>
        <w:autoSpaceDE/>
        <w:autoSpaceDN/>
        <w:bidi w:val="0"/>
        <w:spacing w:line="360" w:lineRule="auto"/>
        <w:jc w:val="left"/>
        <w:textAlignment w:val="auto"/>
        <w:rPr>
          <w:rFonts w:eastAsia="黑体"/>
          <w:kern w:val="0"/>
          <w:sz w:val="24"/>
        </w:rPr>
        <w:sectPr>
          <w:footerReference r:id="rId3" w:type="default"/>
          <w:footerReference r:id="rId4" w:type="even"/>
          <w:pgSz w:w="11906" w:h="16838"/>
          <w:pgMar w:top="1440" w:right="1797" w:bottom="1440" w:left="1797"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黑体" w:hAnsi="宋体" w:eastAsia="黑体"/>
          <w:kern w:val="0"/>
          <w:sz w:val="24"/>
        </w:rPr>
      </w:pPr>
      <w:r>
        <w:rPr>
          <w:rFonts w:eastAsia="黑体"/>
          <w:kern w:val="0"/>
          <w:sz w:val="24"/>
        </w:rPr>
        <w:t xml:space="preserve">附表   </w:t>
      </w:r>
      <w:r>
        <w:rPr>
          <w:rFonts w:hint="eastAsia" w:ascii="黑体" w:hAnsi="宋体" w:eastAsia="黑体"/>
          <w:kern w:val="0"/>
          <w:sz w:val="24"/>
        </w:rPr>
        <w:t xml:space="preserve">实验室开放基金项目申报指南 </w:t>
      </w:r>
    </w:p>
    <w:tbl>
      <w:tblPr>
        <w:tblStyle w:val="10"/>
        <w:tblW w:w="140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930"/>
        <w:gridCol w:w="2520"/>
        <w:gridCol w:w="4635"/>
        <w:gridCol w:w="5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序号</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项目</w:t>
            </w:r>
          </w:p>
        </w:tc>
        <w:tc>
          <w:tcPr>
            <w:tcW w:w="2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研究开发目标</w:t>
            </w:r>
          </w:p>
        </w:tc>
        <w:tc>
          <w:tcPr>
            <w:tcW w:w="4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立项重点</w:t>
            </w:r>
          </w:p>
        </w:tc>
        <w:tc>
          <w:tcPr>
            <w:tcW w:w="53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鼓励研究方向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630" w:type="dxa"/>
            <w:vMerge w:val="restart"/>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30"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分子水平炼油</w:t>
            </w:r>
          </w:p>
        </w:tc>
        <w:tc>
          <w:tcPr>
            <w:tcW w:w="2520"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轻端产品炼油技术开发锚定减少甲烷，增产乙烯；重端产品炼油技术以减少焦炭为目标；炼油过程技术重点是节能降耗；原料端考虑多元化原料多元化，拓展炼油装置原料来源。</w:t>
            </w:r>
          </w:p>
        </w:tc>
        <w:tc>
          <w:tcPr>
            <w:tcW w:w="4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1"/>
                <w:lang w:val="en-US" w:eastAsia="zh-CN" w:bidi="ar"/>
              </w:rPr>
              <w:t>基于分子管理的理念，研究不同烃分子、烃分子与非烃分子的低能耗、绿色高效分离技术。</w:t>
            </w:r>
          </w:p>
        </w:tc>
        <w:tc>
          <w:tcPr>
            <w:tcW w:w="5310"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2"/>
                <w:rFonts w:eastAsia="宋体"/>
                <w:lang w:val="en-US" w:eastAsia="zh-CN" w:bidi="ar"/>
              </w:rPr>
              <w:t>1.</w:t>
            </w:r>
            <w:r>
              <w:rPr>
                <w:rStyle w:val="21"/>
                <w:lang w:val="en-US" w:eastAsia="zh-CN" w:bidi="ar"/>
              </w:rPr>
              <w:t>基于烷烯分离的功能化溶剂结构设计及性能调控</w:t>
            </w:r>
            <w:r>
              <w:rPr>
                <w:rStyle w:val="22"/>
                <w:rFonts w:eastAsia="宋体"/>
                <w:lang w:val="en-US" w:eastAsia="zh-CN" w:bidi="ar"/>
              </w:rPr>
              <w:br w:type="textWrapping"/>
            </w:r>
            <w:r>
              <w:rPr>
                <w:rStyle w:val="22"/>
                <w:rFonts w:eastAsia="宋体"/>
                <w:lang w:val="en-US" w:eastAsia="zh-CN" w:bidi="ar"/>
              </w:rPr>
              <w:t>2.</w:t>
            </w:r>
            <w:r>
              <w:rPr>
                <w:rStyle w:val="21"/>
                <w:lang w:val="en-US" w:eastAsia="zh-CN" w:bidi="ar"/>
              </w:rPr>
              <w:t>基于多环芳烃与烷烃分离的膜材料设计</w:t>
            </w:r>
            <w:r>
              <w:rPr>
                <w:rStyle w:val="22"/>
                <w:rFonts w:eastAsia="宋体"/>
                <w:lang w:val="en-US" w:eastAsia="zh-CN" w:bidi="ar"/>
              </w:rPr>
              <w:br w:type="textWrapping"/>
            </w:r>
            <w:r>
              <w:rPr>
                <w:rStyle w:val="22"/>
                <w:rFonts w:eastAsia="宋体"/>
                <w:lang w:val="en-US" w:eastAsia="zh-CN" w:bidi="ar"/>
              </w:rPr>
              <w:t>3.</w:t>
            </w:r>
            <w:r>
              <w:rPr>
                <w:rStyle w:val="21"/>
                <w:lang w:val="en-US" w:eastAsia="zh-CN" w:bidi="ar"/>
              </w:rPr>
              <w:t>高温低成本固液分离研究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8" w:hRule="atLeast"/>
        </w:trPr>
        <w:tc>
          <w:tcPr>
            <w:tcW w:w="630"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252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1"/>
                <w:lang w:val="en-US" w:eastAsia="zh-CN" w:bidi="ar"/>
              </w:rPr>
              <w:t>研究烃分子转化机理，不同催化材料对反应路径选择性的调变，主要催化材料的合成中的科学问题，以提升烃分子利用率，降低低价值产品选择性。</w:t>
            </w:r>
          </w:p>
        </w:tc>
        <w:tc>
          <w:tcPr>
            <w:tcW w:w="53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2"/>
                <w:rFonts w:eastAsia="宋体"/>
                <w:lang w:val="en-US" w:eastAsia="zh-CN" w:bidi="ar"/>
              </w:rPr>
              <w:t>1.</w:t>
            </w:r>
            <w:r>
              <w:rPr>
                <w:rStyle w:val="21"/>
                <w:lang w:val="en-US" w:eastAsia="zh-CN" w:bidi="ar"/>
              </w:rPr>
              <w:t>探索小分子烃催化裂解制乙烯与丙烯的新机制</w:t>
            </w:r>
            <w:r>
              <w:rPr>
                <w:rStyle w:val="22"/>
                <w:rFonts w:eastAsia="宋体"/>
                <w:lang w:val="en-US" w:eastAsia="zh-CN" w:bidi="ar"/>
              </w:rPr>
              <w:br w:type="textWrapping"/>
            </w:r>
            <w:r>
              <w:rPr>
                <w:rStyle w:val="22"/>
                <w:rFonts w:eastAsia="宋体"/>
                <w:lang w:val="en-US" w:eastAsia="zh-CN" w:bidi="ar"/>
              </w:rPr>
              <w:t>2.</w:t>
            </w:r>
            <w:r>
              <w:rPr>
                <w:rStyle w:val="21"/>
                <w:lang w:val="en-US" w:eastAsia="zh-CN" w:bidi="ar"/>
              </w:rPr>
              <w:t>研究催化材料对反应路径的调变</w:t>
            </w:r>
            <w:r>
              <w:rPr>
                <w:rStyle w:val="22"/>
                <w:rFonts w:eastAsia="宋体"/>
                <w:lang w:val="en-US" w:eastAsia="zh-CN" w:bidi="ar"/>
              </w:rPr>
              <w:br w:type="textWrapping"/>
            </w:r>
            <w:r>
              <w:rPr>
                <w:rStyle w:val="22"/>
                <w:rFonts w:eastAsia="宋体"/>
                <w:lang w:val="en-US" w:eastAsia="zh-CN" w:bidi="ar"/>
              </w:rPr>
              <w:t>3.</w:t>
            </w:r>
            <w:r>
              <w:rPr>
                <w:rStyle w:val="21"/>
                <w:lang w:val="en-US" w:eastAsia="zh-CN" w:bidi="ar"/>
              </w:rPr>
              <w:t>烷氧基铝合成及水解反应历程、热力学及动力学研究；薄水铝石晶粒生长及调控机理研究；氢氧化铝浆液流变学规律及流变学性质调控机制研究。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63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25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研究针状焦碳原子的晶相结构与性能的关系，从而提升材料的应用性能。</w:t>
            </w:r>
          </w:p>
        </w:tc>
        <w:tc>
          <w:tcPr>
            <w:tcW w:w="531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3"/>
                <w:rFonts w:eastAsia="宋体"/>
                <w:lang w:val="en-US" w:eastAsia="zh-CN" w:bidi="ar"/>
              </w:rPr>
              <w:t>1.</w:t>
            </w:r>
            <w:r>
              <w:rPr>
                <w:rStyle w:val="20"/>
                <w:lang w:val="en-US" w:eastAsia="zh-CN" w:bidi="ar"/>
              </w:rPr>
              <w:t>获取针状焦中不同类型碳原子结构的存在形式及分布比例。</w:t>
            </w:r>
            <w:r>
              <w:rPr>
                <w:rStyle w:val="23"/>
                <w:rFonts w:eastAsia="宋体"/>
                <w:lang w:val="en-US" w:eastAsia="zh-CN" w:bidi="ar"/>
              </w:rPr>
              <w:br w:type="textWrapping"/>
            </w:r>
            <w:r>
              <w:rPr>
                <w:rStyle w:val="23"/>
                <w:rFonts w:eastAsia="宋体"/>
                <w:lang w:val="en-US" w:eastAsia="zh-CN" w:bidi="ar"/>
              </w:rPr>
              <w:t>2.</w:t>
            </w:r>
            <w:r>
              <w:rPr>
                <w:rStyle w:val="20"/>
                <w:lang w:val="en-US" w:eastAsia="zh-CN" w:bidi="ar"/>
              </w:rPr>
              <w:t>建立识别针状焦中晶相结构缺陷的方法，获取温度场下碳原子的晶相结构转化规律。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63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30" w:type="dxa"/>
            <w:vMerge w:val="restart"/>
            <w:tcBorders>
              <w:top w:val="single" w:color="auto"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原子经济化工</w:t>
            </w:r>
          </w:p>
        </w:tc>
        <w:tc>
          <w:tcPr>
            <w:tcW w:w="2520"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建立</w:t>
            </w:r>
            <w:r>
              <w:rPr>
                <w:rStyle w:val="23"/>
                <w:rFonts w:eastAsia="宋体"/>
                <w:lang w:val="en-US" w:eastAsia="zh-CN" w:bidi="ar"/>
              </w:rPr>
              <w:t>“</w:t>
            </w:r>
            <w:r>
              <w:rPr>
                <w:rStyle w:val="20"/>
                <w:lang w:val="en-US" w:eastAsia="zh-CN" w:bidi="ar"/>
              </w:rPr>
              <w:t>绿色碳科学</w:t>
            </w:r>
            <w:r>
              <w:rPr>
                <w:rStyle w:val="23"/>
                <w:rFonts w:eastAsia="宋体"/>
                <w:lang w:val="en-US" w:eastAsia="zh-CN" w:bidi="ar"/>
              </w:rPr>
              <w:t>”</w:t>
            </w:r>
            <w:r>
              <w:rPr>
                <w:rStyle w:val="20"/>
                <w:lang w:val="en-US" w:eastAsia="zh-CN" w:bidi="ar"/>
              </w:rPr>
              <w:t>新理论，基于新催化材料、新反应工程以及绿色分离工程，发展石油分子重构新原理，开拓石油分子插入</w:t>
            </w:r>
            <w:r>
              <w:rPr>
                <w:rStyle w:val="23"/>
                <w:rFonts w:eastAsia="宋体"/>
                <w:lang w:val="en-US" w:eastAsia="zh-CN" w:bidi="ar"/>
              </w:rPr>
              <w:t>O/N</w:t>
            </w:r>
            <w:r>
              <w:rPr>
                <w:rStyle w:val="20"/>
                <w:lang w:val="en-US" w:eastAsia="zh-CN" w:bidi="ar"/>
              </w:rPr>
              <w:t>新方法，发展配位环境和活性位密度可控的催化材料制备方法，发展原子和分子尺度活性位微环境结构及反应过程动态演化规律表征方法，支撑开发高效、清洁、安全的烯烃环氧化、尼龙</w:t>
            </w:r>
            <w:r>
              <w:rPr>
                <w:rStyle w:val="23"/>
                <w:rFonts w:eastAsia="宋体"/>
                <w:lang w:val="en-US" w:eastAsia="zh-CN" w:bidi="ar"/>
              </w:rPr>
              <w:t>66</w:t>
            </w:r>
            <w:r>
              <w:rPr>
                <w:rStyle w:val="20"/>
                <w:lang w:val="en-US" w:eastAsia="zh-CN" w:bidi="ar"/>
              </w:rPr>
              <w:t>、长碳链尼龙单体等工业技术。</w:t>
            </w:r>
          </w:p>
        </w:tc>
        <w:tc>
          <w:tcPr>
            <w:tcW w:w="463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针对</w:t>
            </w:r>
            <w:r>
              <w:rPr>
                <w:rStyle w:val="23"/>
                <w:rFonts w:eastAsia="宋体"/>
                <w:lang w:val="en-US" w:eastAsia="zh-CN" w:bidi="ar"/>
              </w:rPr>
              <w:t>C4/C5</w:t>
            </w:r>
            <w:r>
              <w:rPr>
                <w:rStyle w:val="20"/>
                <w:lang w:val="en-US" w:eastAsia="zh-CN" w:bidi="ar"/>
              </w:rPr>
              <w:t>、芳烃高值利用和低能耗分离分子筛、</w:t>
            </w:r>
            <w:r>
              <w:rPr>
                <w:rStyle w:val="23"/>
                <w:rFonts w:eastAsia="宋体"/>
                <w:lang w:val="en-US" w:eastAsia="zh-CN" w:bidi="ar"/>
              </w:rPr>
              <w:t>MOF</w:t>
            </w:r>
            <w:r>
              <w:rPr>
                <w:rStyle w:val="20"/>
                <w:lang w:val="en-US" w:eastAsia="zh-CN" w:bidi="ar"/>
              </w:rPr>
              <w:t>材料开发；催化材料亚埃级精细结构解析及原位表征技术；结构和催化应用的构效关系；化工过程的混合和传质强化技术开发。</w:t>
            </w:r>
          </w:p>
        </w:tc>
        <w:tc>
          <w:tcPr>
            <w:tcW w:w="531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3"/>
                <w:rFonts w:eastAsia="宋体"/>
                <w:lang w:val="en-US" w:eastAsia="zh-CN" w:bidi="ar"/>
              </w:rPr>
              <w:t>1.</w:t>
            </w:r>
            <w:r>
              <w:rPr>
                <w:rStyle w:val="20"/>
                <w:lang w:val="en-US" w:eastAsia="zh-CN" w:bidi="ar"/>
              </w:rPr>
              <w:t>纳米片层分子筛原子级结构解析、片层结构缺陷定量化及分子筛合成、结构和催化应用构效关系的研究</w:t>
            </w:r>
            <w:r>
              <w:rPr>
                <w:rStyle w:val="23"/>
                <w:rFonts w:eastAsia="宋体"/>
                <w:lang w:val="en-US" w:eastAsia="zh-CN" w:bidi="ar"/>
              </w:rPr>
              <w:br w:type="textWrapping"/>
            </w:r>
            <w:r>
              <w:rPr>
                <w:rStyle w:val="23"/>
                <w:rFonts w:eastAsia="宋体"/>
                <w:lang w:val="en-US" w:eastAsia="zh-CN" w:bidi="ar"/>
              </w:rPr>
              <w:t>2.</w:t>
            </w:r>
            <w:r>
              <w:rPr>
                <w:rStyle w:val="20"/>
                <w:lang w:val="en-US" w:eastAsia="zh-CN" w:bidi="ar"/>
              </w:rPr>
              <w:t>钛硅分子筛钛物种状态</w:t>
            </w:r>
            <w:r>
              <w:rPr>
                <w:rStyle w:val="23"/>
                <w:rFonts w:eastAsia="宋体"/>
                <w:lang w:val="en-US" w:eastAsia="zh-CN" w:bidi="ar"/>
              </w:rPr>
              <w:t>-</w:t>
            </w:r>
            <w:r>
              <w:rPr>
                <w:rStyle w:val="20"/>
                <w:lang w:val="en-US" w:eastAsia="zh-CN" w:bidi="ar"/>
              </w:rPr>
              <w:t>溶剂效应</w:t>
            </w:r>
            <w:r>
              <w:rPr>
                <w:rStyle w:val="23"/>
                <w:rFonts w:eastAsia="宋体"/>
                <w:lang w:val="en-US" w:eastAsia="zh-CN" w:bidi="ar"/>
              </w:rPr>
              <w:t>-</w:t>
            </w:r>
            <w:r>
              <w:rPr>
                <w:rStyle w:val="20"/>
                <w:lang w:val="en-US" w:eastAsia="zh-CN" w:bidi="ar"/>
              </w:rPr>
              <w:t>反应性能构效关系研究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4" w:hRule="atLeast"/>
        </w:trPr>
        <w:tc>
          <w:tcPr>
            <w:tcW w:w="63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nil"/>
              <w:bottom w:val="nil"/>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252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6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分子筛可控合成制备技术。吸附剂晶体内吸附过程机理研究及新型吸附剂合成。溶剂化效应对钛硅分子筛催化影响研究。酰胺类单体高效合成技术开发。</w:t>
            </w:r>
          </w:p>
        </w:tc>
        <w:tc>
          <w:tcPr>
            <w:tcW w:w="5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3"/>
                <w:rFonts w:eastAsia="宋体"/>
                <w:lang w:val="en-US" w:eastAsia="zh-CN" w:bidi="ar"/>
              </w:rPr>
              <w:t>1.</w:t>
            </w:r>
            <w:r>
              <w:rPr>
                <w:rStyle w:val="20"/>
                <w:lang w:val="en-US" w:eastAsia="zh-CN" w:bidi="ar"/>
              </w:rPr>
              <w:t>新结构分子筛材料合成及改性技术</w:t>
            </w:r>
            <w:r>
              <w:rPr>
                <w:rStyle w:val="23"/>
                <w:rFonts w:eastAsia="宋体"/>
                <w:lang w:val="en-US" w:eastAsia="zh-CN" w:bidi="ar"/>
              </w:rPr>
              <w:br w:type="textWrapping"/>
            </w:r>
            <w:r>
              <w:rPr>
                <w:rStyle w:val="23"/>
                <w:rFonts w:eastAsia="宋体"/>
                <w:lang w:val="en-US" w:eastAsia="zh-CN" w:bidi="ar"/>
              </w:rPr>
              <w:t>2.</w:t>
            </w:r>
            <w:r>
              <w:rPr>
                <w:rStyle w:val="20"/>
                <w:lang w:val="en-US" w:eastAsia="zh-CN" w:bidi="ar"/>
              </w:rPr>
              <w:t>吸附剂晶内吸附分离过程机理及适配催化材料探索</w:t>
            </w:r>
            <w:r>
              <w:rPr>
                <w:rStyle w:val="23"/>
                <w:rFonts w:eastAsia="宋体"/>
                <w:lang w:val="en-US" w:eastAsia="zh-CN" w:bidi="ar"/>
              </w:rPr>
              <w:br w:type="textWrapping"/>
            </w:r>
            <w:r>
              <w:rPr>
                <w:rStyle w:val="23"/>
                <w:rFonts w:eastAsia="宋体"/>
                <w:lang w:val="en-US" w:eastAsia="zh-CN" w:bidi="ar"/>
              </w:rPr>
              <w:t>3.</w:t>
            </w:r>
            <w:r>
              <w:rPr>
                <w:rStyle w:val="20"/>
                <w:lang w:val="en-US" w:eastAsia="zh-CN" w:bidi="ar"/>
              </w:rPr>
              <w:t>分子氧活化原位生成双氧水及催化氧化耦合机理及适配催化材料探索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2" w:hRule="atLeast"/>
        </w:trPr>
        <w:tc>
          <w:tcPr>
            <w:tcW w:w="63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nil"/>
              <w:bottom w:val="single" w:color="auto"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25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6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新型多孔催化剂以及强度、比表面和孔径调控方法和传质机理；催化剂高通量自动化制备装备；原位表征技术（如原位同步辐射）揭示催化剂重构及性能衰减机制</w:t>
            </w:r>
          </w:p>
        </w:tc>
        <w:tc>
          <w:tcPr>
            <w:tcW w:w="5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3"/>
                <w:rFonts w:eastAsia="宋体"/>
                <w:lang w:val="en-US" w:eastAsia="zh-CN" w:bidi="ar"/>
              </w:rPr>
              <w:t>1.</w:t>
            </w:r>
            <w:r>
              <w:rPr>
                <w:rStyle w:val="20"/>
                <w:lang w:val="en-US" w:eastAsia="zh-CN" w:bidi="ar"/>
              </w:rPr>
              <w:t>基于人工智能的多孔催化材料、多孔电催化材料高效筛选及合成技术</w:t>
            </w:r>
            <w:r>
              <w:rPr>
                <w:rStyle w:val="23"/>
                <w:rFonts w:eastAsia="宋体"/>
                <w:lang w:val="en-US" w:eastAsia="zh-CN" w:bidi="ar"/>
              </w:rPr>
              <w:br w:type="textWrapping"/>
            </w:r>
            <w:r>
              <w:rPr>
                <w:rStyle w:val="23"/>
                <w:rFonts w:eastAsia="宋体"/>
                <w:lang w:val="en-US" w:eastAsia="zh-CN" w:bidi="ar"/>
              </w:rPr>
              <w:t>2.</w:t>
            </w:r>
            <w:r>
              <w:rPr>
                <w:rStyle w:val="20"/>
                <w:lang w:val="en-US" w:eastAsia="zh-CN" w:bidi="ar"/>
              </w:rPr>
              <w:t>新型高密度单原子催化材料的制备工艺</w:t>
            </w:r>
            <w:r>
              <w:rPr>
                <w:rStyle w:val="23"/>
                <w:rFonts w:eastAsia="宋体"/>
                <w:lang w:val="en-US" w:eastAsia="zh-CN" w:bidi="ar"/>
              </w:rPr>
              <w:br w:type="textWrapping"/>
            </w:r>
            <w:r>
              <w:rPr>
                <w:rStyle w:val="23"/>
                <w:rFonts w:eastAsia="宋体"/>
                <w:lang w:val="en-US" w:eastAsia="zh-CN" w:bidi="ar"/>
              </w:rPr>
              <w:t>3.</w:t>
            </w:r>
            <w:r>
              <w:rPr>
                <w:rStyle w:val="20"/>
                <w:lang w:val="en-US" w:eastAsia="zh-CN" w:bidi="ar"/>
              </w:rPr>
              <w:t>基于纳米</w:t>
            </w:r>
            <w:r>
              <w:rPr>
                <w:rStyle w:val="23"/>
                <w:rFonts w:eastAsia="宋体"/>
                <w:lang w:val="en-US" w:eastAsia="zh-CN" w:bidi="ar"/>
              </w:rPr>
              <w:t>X</w:t>
            </w:r>
            <w:r>
              <w:rPr>
                <w:rStyle w:val="20"/>
                <w:lang w:val="en-US" w:eastAsia="zh-CN" w:bidi="ar"/>
              </w:rPr>
              <w:t>射线显微镜技术（</w:t>
            </w:r>
            <w:r>
              <w:rPr>
                <w:rStyle w:val="23"/>
                <w:rFonts w:eastAsia="宋体"/>
                <w:lang w:val="en-US" w:eastAsia="zh-CN" w:bidi="ar"/>
              </w:rPr>
              <w:t>Nano-CT</w:t>
            </w:r>
            <w:r>
              <w:rPr>
                <w:rStyle w:val="20"/>
                <w:lang w:val="en-US" w:eastAsia="zh-CN" w:bidi="ar"/>
              </w:rPr>
              <w:t>）等一批可以提供样品内部结构三维图像的高端表征技术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3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30"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1"/>
                <w:lang w:val="en-US" w:eastAsia="zh-CN" w:bidi="ar"/>
              </w:rPr>
              <w:t>绿色低碳能源</w:t>
            </w:r>
          </w:p>
        </w:tc>
        <w:tc>
          <w:tcPr>
            <w:tcW w:w="252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1"/>
                <w:lang w:val="en-US" w:eastAsia="zh-CN" w:bidi="ar"/>
              </w:rPr>
              <w:t>耦合加氢反应动力学的氢气网络优化模型构建及其加速算法开发；探索藻细胞分泌物与藻细胞之间的相互关系及处理方法；开发</w:t>
            </w:r>
            <w:r>
              <w:rPr>
                <w:rStyle w:val="22"/>
                <w:rFonts w:eastAsia="宋体"/>
                <w:lang w:val="en-US" w:eastAsia="zh-CN" w:bidi="ar"/>
              </w:rPr>
              <w:t>PEM</w:t>
            </w:r>
            <w:r>
              <w:rPr>
                <w:rStyle w:val="21"/>
                <w:lang w:val="en-US" w:eastAsia="zh-CN" w:bidi="ar"/>
              </w:rPr>
              <w:t>制氢技术研究，实现低成本绿氢生产</w:t>
            </w:r>
            <w:r>
              <w:rPr>
                <w:rStyle w:val="22"/>
                <w:rFonts w:eastAsia="宋体"/>
                <w:lang w:val="en-US" w:eastAsia="zh-CN" w:bidi="ar"/>
              </w:rPr>
              <w:t>;</w:t>
            </w:r>
            <w:r>
              <w:rPr>
                <w:rStyle w:val="21"/>
                <w:lang w:val="en-US" w:eastAsia="zh-CN" w:bidi="ar"/>
              </w:rPr>
              <w:t>开发新型多元醇类选择性电化学氧化催化体系；揭示多元醇电化学氧化反应机制</w:t>
            </w:r>
          </w:p>
        </w:tc>
        <w:tc>
          <w:tcPr>
            <w:tcW w:w="4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1"/>
                <w:lang w:val="en-US" w:eastAsia="zh-CN" w:bidi="ar"/>
              </w:rPr>
              <w:t>针对氢气网络模型求解过程中，因动力学中指数函数和幂函数的高度非线性以及氢气网络模型自身的</w:t>
            </w:r>
            <w:r>
              <w:rPr>
                <w:rStyle w:val="22"/>
                <w:rFonts w:eastAsia="宋体"/>
                <w:lang w:val="en-US" w:eastAsia="zh-CN" w:bidi="ar"/>
              </w:rPr>
              <w:t>MINLP</w:t>
            </w:r>
            <w:r>
              <w:rPr>
                <w:rStyle w:val="21"/>
                <w:lang w:val="en-US" w:eastAsia="zh-CN" w:bidi="ar"/>
              </w:rPr>
              <w:t>属性导致的耦合动力学求解难度较大的问题，开发耦合加氢动力学的氢气网络求解加速算法。</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2"/>
                <w:rFonts w:eastAsia="宋体"/>
                <w:lang w:val="en-US" w:eastAsia="zh-CN" w:bidi="ar"/>
              </w:rPr>
              <w:t>1.</w:t>
            </w:r>
            <w:r>
              <w:rPr>
                <w:rStyle w:val="21"/>
                <w:lang w:val="en-US" w:eastAsia="zh-CN" w:bidi="ar"/>
              </w:rPr>
              <w:t>高度非线性耦合的大规模网络求解策略设计研究；</w:t>
            </w:r>
            <w:r>
              <w:rPr>
                <w:rStyle w:val="22"/>
                <w:rFonts w:eastAsia="宋体"/>
                <w:lang w:val="en-US" w:eastAsia="zh-CN" w:bidi="ar"/>
              </w:rPr>
              <w:br w:type="textWrapping"/>
            </w:r>
            <w:r>
              <w:rPr>
                <w:rStyle w:val="22"/>
                <w:rFonts w:eastAsia="宋体"/>
                <w:lang w:val="en-US" w:eastAsia="zh-CN" w:bidi="ar"/>
              </w:rPr>
              <w:t>2.</w:t>
            </w:r>
            <w:r>
              <w:rPr>
                <w:rStyle w:val="21"/>
                <w:lang w:val="en-US" w:eastAsia="zh-CN" w:bidi="ar"/>
              </w:rPr>
              <w:t>大规模网络模型求解加速算法开发研究。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针对微藻养殖时水循环利用率低、水资源较为浪费的难题，进行微藻胞外分泌物变化规律研究及藻细胞分泌物的去除方法研究。</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3"/>
                <w:rFonts w:eastAsia="宋体"/>
                <w:lang w:val="en-US" w:eastAsia="zh-CN" w:bidi="ar"/>
              </w:rPr>
              <w:t>1.</w:t>
            </w:r>
            <w:r>
              <w:rPr>
                <w:rStyle w:val="20"/>
                <w:lang w:val="en-US" w:eastAsia="zh-CN" w:bidi="ar"/>
              </w:rPr>
              <w:t>藻细胞分泌物变化规律研究，探索胞外分泌物与藻细胞的相互关系；</w:t>
            </w:r>
            <w:r>
              <w:rPr>
                <w:rStyle w:val="23"/>
                <w:rFonts w:eastAsia="宋体"/>
                <w:lang w:val="en-US" w:eastAsia="zh-CN" w:bidi="ar"/>
              </w:rPr>
              <w:br w:type="textWrapping"/>
            </w:r>
            <w:r>
              <w:rPr>
                <w:rStyle w:val="23"/>
                <w:rFonts w:eastAsia="宋体"/>
                <w:lang w:val="en-US" w:eastAsia="zh-CN" w:bidi="ar"/>
              </w:rPr>
              <w:t>2.</w:t>
            </w:r>
            <w:r>
              <w:rPr>
                <w:rStyle w:val="20"/>
                <w:lang w:val="en-US" w:eastAsia="zh-CN" w:bidi="ar"/>
              </w:rPr>
              <w:t>藻细胞分泌物的去除方法研究，开发低成本处理技术。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0"/>
                <w:lang w:val="en-US" w:eastAsia="zh-CN" w:bidi="ar"/>
              </w:rPr>
              <w:t>针对</w:t>
            </w:r>
            <w:r>
              <w:rPr>
                <w:rStyle w:val="23"/>
                <w:rFonts w:eastAsia="宋体"/>
                <w:lang w:val="en-US" w:eastAsia="zh-CN" w:bidi="ar"/>
              </w:rPr>
              <w:t>PEM</w:t>
            </w:r>
            <w:r>
              <w:rPr>
                <w:rStyle w:val="20"/>
                <w:lang w:val="en-US" w:eastAsia="zh-CN" w:bidi="ar"/>
              </w:rPr>
              <w:t>电解水大电流密度下材料和器件的活性、稳定性较差的难题，开展膜电极衰减机理研究及衰减模型的研究，抗腐蚀、抗氧化的低</w:t>
            </w:r>
            <w:r>
              <w:rPr>
                <w:rStyle w:val="23"/>
                <w:rFonts w:eastAsia="宋体"/>
                <w:lang w:val="en-US" w:eastAsia="zh-CN" w:bidi="ar"/>
              </w:rPr>
              <w:t>/</w:t>
            </w:r>
            <w:r>
              <w:rPr>
                <w:rStyle w:val="20"/>
                <w:lang w:val="en-US" w:eastAsia="zh-CN" w:bidi="ar"/>
              </w:rPr>
              <w:t>非贵金属涂层技术研究，耐高温、抗疲劳高压密封技术研究，梯度孔结构钛基扩散层制备技术研究。</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3"/>
                <w:rFonts w:eastAsia="宋体"/>
                <w:lang w:val="en-US" w:eastAsia="zh-CN" w:bidi="ar"/>
              </w:rPr>
              <w:t>1.PEM</w:t>
            </w:r>
            <w:r>
              <w:rPr>
                <w:rStyle w:val="20"/>
                <w:lang w:val="en-US" w:eastAsia="zh-CN" w:bidi="ar"/>
              </w:rPr>
              <w:t>电解水膜电极衰减理论模型与寿命预测研究；</w:t>
            </w:r>
            <w:r>
              <w:rPr>
                <w:rStyle w:val="23"/>
                <w:rFonts w:eastAsia="宋体"/>
                <w:lang w:val="en-US" w:eastAsia="zh-CN" w:bidi="ar"/>
              </w:rPr>
              <w:br w:type="textWrapping"/>
            </w:r>
            <w:r>
              <w:rPr>
                <w:rStyle w:val="23"/>
                <w:rFonts w:eastAsia="宋体"/>
                <w:lang w:val="en-US" w:eastAsia="zh-CN" w:bidi="ar"/>
              </w:rPr>
              <w:t>2.PEM</w:t>
            </w:r>
            <w:r>
              <w:rPr>
                <w:rStyle w:val="20"/>
                <w:lang w:val="en-US" w:eastAsia="zh-CN" w:bidi="ar"/>
              </w:rPr>
              <w:t>电解槽水平上的气液两相流传质、传热过程研究；</w:t>
            </w:r>
            <w:r>
              <w:rPr>
                <w:rStyle w:val="23"/>
                <w:rFonts w:eastAsia="宋体"/>
                <w:lang w:val="en-US" w:eastAsia="zh-CN" w:bidi="ar"/>
              </w:rPr>
              <w:br w:type="textWrapping"/>
            </w:r>
            <w:r>
              <w:rPr>
                <w:rStyle w:val="23"/>
                <w:rFonts w:eastAsia="宋体"/>
                <w:lang w:val="en-US" w:eastAsia="zh-CN" w:bidi="ar"/>
              </w:rPr>
              <w:t>3.</w:t>
            </w:r>
            <w:r>
              <w:rPr>
                <w:rStyle w:val="20"/>
                <w:lang w:val="en-US" w:eastAsia="zh-CN" w:bidi="ar"/>
              </w:rPr>
              <w:t>基于大数据和人工智能的非贵金属涂层材料筛选；</w:t>
            </w:r>
            <w:r>
              <w:rPr>
                <w:rStyle w:val="23"/>
                <w:rFonts w:eastAsia="宋体"/>
                <w:lang w:val="en-US" w:eastAsia="zh-CN" w:bidi="ar"/>
              </w:rPr>
              <w:br w:type="textWrapping"/>
            </w:r>
            <w:r>
              <w:rPr>
                <w:rStyle w:val="23"/>
                <w:rFonts w:eastAsia="宋体"/>
                <w:lang w:val="en-US" w:eastAsia="zh-CN" w:bidi="ar"/>
              </w:rPr>
              <w:t>4.</w:t>
            </w:r>
            <w:r>
              <w:rPr>
                <w:rStyle w:val="20"/>
                <w:lang w:val="en-US" w:eastAsia="zh-CN" w:bidi="ar"/>
              </w:rPr>
              <w:t>基于频繁启停工况的高压密封材料耐久性研究；</w:t>
            </w:r>
            <w:r>
              <w:rPr>
                <w:rStyle w:val="23"/>
                <w:rFonts w:eastAsia="宋体"/>
                <w:lang w:val="en-US" w:eastAsia="zh-CN" w:bidi="ar"/>
              </w:rPr>
              <w:br w:type="textWrapping"/>
            </w:r>
            <w:r>
              <w:rPr>
                <w:rStyle w:val="23"/>
                <w:rFonts w:eastAsia="宋体"/>
                <w:lang w:val="en-US" w:eastAsia="zh-CN" w:bidi="ar"/>
              </w:rPr>
              <w:t>5.</w:t>
            </w:r>
            <w:r>
              <w:rPr>
                <w:rStyle w:val="20"/>
                <w:lang w:val="en-US" w:eastAsia="zh-CN" w:bidi="ar"/>
              </w:rPr>
              <w:t>梯度孔结构钛基扩散层制备技术研究。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1"/>
                <w:lang w:val="en-US" w:eastAsia="zh-CN" w:bidi="ar"/>
              </w:rPr>
              <w:t>新型多元醇类选择性电化学氧化反应体系的研究，具体包括多元醇类羟基转化选择性的研究，有机物吸附物种氧化、脱除机理的研究，以及多元醇类选择性转化电化学反应器中反应底物传质、流体传热的研究</w:t>
            </w:r>
          </w:p>
        </w:tc>
        <w:tc>
          <w:tcPr>
            <w:tcW w:w="5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2"/>
                <w:rFonts w:eastAsia="宋体"/>
                <w:lang w:val="en-US" w:eastAsia="zh-CN" w:bidi="ar"/>
              </w:rPr>
              <w:t>1</w:t>
            </w:r>
            <w:r>
              <w:rPr>
                <w:rStyle w:val="21"/>
                <w:lang w:val="en-US" w:eastAsia="zh-CN" w:bidi="ar"/>
              </w:rPr>
              <w:t>、探究多元醇电催化选择性氧化制备高值化学品的催化反应体系，并结合先进表征手段研究多元醇类底物分子在催化剂表面的催化转化机制；</w:t>
            </w:r>
            <w:r>
              <w:rPr>
                <w:rStyle w:val="22"/>
                <w:rFonts w:eastAsia="宋体"/>
                <w:lang w:val="en-US" w:eastAsia="zh-CN" w:bidi="ar"/>
              </w:rPr>
              <w:br w:type="textWrapping"/>
            </w:r>
            <w:r>
              <w:rPr>
                <w:rStyle w:val="22"/>
                <w:rFonts w:eastAsia="宋体"/>
                <w:lang w:val="en-US" w:eastAsia="zh-CN" w:bidi="ar"/>
              </w:rPr>
              <w:t>2</w:t>
            </w:r>
            <w:r>
              <w:rPr>
                <w:rStyle w:val="21"/>
                <w:lang w:val="en-US" w:eastAsia="zh-CN" w:bidi="ar"/>
              </w:rPr>
              <w:t>、结合多物理场耦合模拟的技术手段，研究多元醇类选择性氧化电化学反应器中传质、传热的规律。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5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bl>
    <w:p>
      <w:pPr>
        <w:keepNext w:val="0"/>
        <w:keepLines w:val="0"/>
        <w:pageBreakBefore w:val="0"/>
        <w:widowControl/>
        <w:kinsoku/>
        <w:wordWrap/>
        <w:overflowPunct/>
        <w:topLinePunct w:val="0"/>
        <w:autoSpaceDE/>
        <w:autoSpaceDN/>
        <w:bidi w:val="0"/>
        <w:spacing w:line="360" w:lineRule="auto"/>
        <w:jc w:val="left"/>
        <w:textAlignment w:val="auto"/>
        <w:rPr>
          <w:rFonts w:hint="eastAsia" w:ascii="黑体" w:hAnsi="宋体" w:eastAsia="黑体"/>
          <w:kern w:val="0"/>
          <w:sz w:val="24"/>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黑体" w:hAnsi="宋体" w:eastAsia="黑体"/>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sectPr>
          <w:pgSz w:w="16838" w:h="11906" w:orient="landscape"/>
          <w:pgMar w:top="1797" w:right="1440" w:bottom="1797" w:left="1440" w:header="851" w:footer="992" w:gutter="0"/>
          <w:cols w:space="425" w:num="1"/>
          <w:docGrid w:type="linesAndChars" w:linePitch="312" w:charSpace="0"/>
        </w:sect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_GB2312"/>
          <w:b/>
          <w:sz w:val="30"/>
        </w:rPr>
      </w:pPr>
      <w:r>
        <w:rPr>
          <w:rFonts w:hint="eastAsia" w:ascii="仿宋_GB2312"/>
          <w:bCs/>
          <w:sz w:val="28"/>
        </w:rPr>
        <w:t>2018版</w:t>
      </w:r>
    </w:p>
    <w:p>
      <w:pPr>
        <w:keepNext w:val="0"/>
        <w:keepLines w:val="0"/>
        <w:pageBreakBefore w:val="0"/>
        <w:kinsoku/>
        <w:wordWrap/>
        <w:overflowPunct/>
        <w:topLinePunct w:val="0"/>
        <w:autoSpaceDE/>
        <w:autoSpaceDN/>
        <w:bidi w:val="0"/>
        <w:snapToGrid w:val="0"/>
        <w:spacing w:line="360" w:lineRule="auto"/>
        <w:textAlignment w:val="auto"/>
        <w:rPr>
          <w:rFonts w:ascii="宋体"/>
          <w:sz w:val="28"/>
        </w:rPr>
      </w:pPr>
    </w:p>
    <w:p>
      <w:pPr>
        <w:keepNext w:val="0"/>
        <w:keepLines w:val="0"/>
        <w:pageBreakBefore w:val="0"/>
        <w:kinsoku/>
        <w:wordWrap/>
        <w:overflowPunct/>
        <w:topLinePunct w:val="0"/>
        <w:autoSpaceDE/>
        <w:autoSpaceDN/>
        <w:bidi w:val="0"/>
        <w:snapToGrid w:val="0"/>
        <w:spacing w:line="360" w:lineRule="auto"/>
        <w:jc w:val="center"/>
        <w:textAlignment w:val="auto"/>
        <w:rPr>
          <w:rFonts w:ascii="宋体"/>
        </w:rPr>
      </w:pPr>
    </w:p>
    <w:p>
      <w:pPr>
        <w:keepNext w:val="0"/>
        <w:keepLines w:val="0"/>
        <w:pageBreakBefore w:val="0"/>
        <w:kinsoku/>
        <w:wordWrap/>
        <w:overflowPunct/>
        <w:topLinePunct w:val="0"/>
        <w:autoSpaceDE/>
        <w:autoSpaceDN/>
        <w:bidi w:val="0"/>
        <w:snapToGrid w:val="0"/>
        <w:spacing w:line="360" w:lineRule="auto"/>
        <w:jc w:val="center"/>
        <w:textAlignment w:val="auto"/>
        <w:rPr>
          <w:rFonts w:ascii="宋体"/>
        </w:rPr>
      </w:pPr>
    </w:p>
    <w:p>
      <w:pPr>
        <w:keepNext w:val="0"/>
        <w:keepLines w:val="0"/>
        <w:pageBreakBefore w:val="0"/>
        <w:kinsoku/>
        <w:wordWrap/>
        <w:overflowPunct/>
        <w:topLinePunct w:val="0"/>
        <w:autoSpaceDE/>
        <w:autoSpaceDN/>
        <w:bidi w:val="0"/>
        <w:snapToGrid w:val="0"/>
        <w:spacing w:line="360" w:lineRule="auto"/>
        <w:jc w:val="center"/>
        <w:textAlignment w:val="auto"/>
        <w:rPr>
          <w:rFonts w:eastAsia="黑体"/>
          <w:kern w:val="0"/>
          <w:sz w:val="30"/>
          <w:szCs w:val="30"/>
        </w:rPr>
      </w:pPr>
      <w:r>
        <w:rPr>
          <w:rFonts w:hint="eastAsia" w:ascii="黑体" w:eastAsia="黑体"/>
          <w:kern w:val="0"/>
          <w:sz w:val="30"/>
          <w:szCs w:val="30"/>
        </w:rPr>
        <w:t>石油化工分子转化与反应工程全国重点实验室开</w:t>
      </w:r>
      <w:r>
        <w:rPr>
          <w:rFonts w:eastAsia="黑体"/>
          <w:kern w:val="0"/>
          <w:sz w:val="30"/>
          <w:szCs w:val="30"/>
        </w:rPr>
        <w:t>放课题</w:t>
      </w:r>
    </w:p>
    <w:p>
      <w:pPr>
        <w:keepNext w:val="0"/>
        <w:keepLines w:val="0"/>
        <w:pageBreakBefore w:val="0"/>
        <w:kinsoku/>
        <w:wordWrap/>
        <w:overflowPunct/>
        <w:topLinePunct w:val="0"/>
        <w:autoSpaceDE/>
        <w:autoSpaceDN/>
        <w:bidi w:val="0"/>
        <w:snapToGrid w:val="0"/>
        <w:spacing w:line="360" w:lineRule="auto"/>
        <w:jc w:val="center"/>
        <w:textAlignment w:val="auto"/>
        <w:rPr>
          <w:rFonts w:ascii="宋体"/>
        </w:rPr>
      </w:pPr>
    </w:p>
    <w:p>
      <w:pPr>
        <w:keepNext w:val="0"/>
        <w:keepLines w:val="0"/>
        <w:pageBreakBefore w:val="0"/>
        <w:kinsoku/>
        <w:wordWrap/>
        <w:overflowPunct/>
        <w:topLinePunct w:val="0"/>
        <w:autoSpaceDE/>
        <w:autoSpaceDN/>
        <w:bidi w:val="0"/>
        <w:snapToGrid w:val="0"/>
        <w:spacing w:line="360" w:lineRule="auto"/>
        <w:jc w:val="center"/>
        <w:textAlignment w:val="auto"/>
        <w:rPr>
          <w:rFonts w:ascii="黑体" w:eastAsia="黑体"/>
          <w:sz w:val="52"/>
        </w:rPr>
      </w:pPr>
      <w:r>
        <w:rPr>
          <w:rFonts w:hint="eastAsia" w:ascii="黑体" w:eastAsia="黑体"/>
          <w:sz w:val="52"/>
        </w:rPr>
        <w:t>开</w:t>
      </w:r>
      <w:r>
        <w:rPr>
          <w:rFonts w:ascii="黑体" w:eastAsia="黑体"/>
          <w:sz w:val="52"/>
        </w:rPr>
        <w:t xml:space="preserve">  </w:t>
      </w:r>
      <w:r>
        <w:rPr>
          <w:rFonts w:hint="eastAsia" w:ascii="黑体" w:eastAsia="黑体"/>
          <w:sz w:val="52"/>
        </w:rPr>
        <w:t>题</w:t>
      </w:r>
      <w:r>
        <w:rPr>
          <w:rFonts w:ascii="黑体" w:eastAsia="黑体"/>
          <w:sz w:val="52"/>
        </w:rPr>
        <w:t xml:space="preserve">  </w:t>
      </w:r>
      <w:r>
        <w:rPr>
          <w:rFonts w:hint="eastAsia" w:ascii="黑体" w:eastAsia="黑体"/>
          <w:sz w:val="52"/>
        </w:rPr>
        <w:t>报</w:t>
      </w:r>
      <w:r>
        <w:rPr>
          <w:rFonts w:ascii="黑体" w:eastAsia="黑体"/>
          <w:sz w:val="52"/>
        </w:rPr>
        <w:t xml:space="preserve">  </w:t>
      </w:r>
      <w:r>
        <w:rPr>
          <w:rFonts w:hint="eastAsia" w:ascii="黑体" w:eastAsia="黑体"/>
          <w:sz w:val="52"/>
        </w:rPr>
        <w:t>告</w:t>
      </w:r>
    </w:p>
    <w:p>
      <w:pPr>
        <w:keepNext w:val="0"/>
        <w:keepLines w:val="0"/>
        <w:pageBreakBefore w:val="0"/>
        <w:kinsoku/>
        <w:wordWrap/>
        <w:overflowPunct/>
        <w:topLinePunct w:val="0"/>
        <w:autoSpaceDE/>
        <w:autoSpaceDN/>
        <w:bidi w:val="0"/>
        <w:snapToGrid w:val="0"/>
        <w:spacing w:line="360" w:lineRule="auto"/>
        <w:textAlignment w:val="auto"/>
        <w:rPr>
          <w:rFonts w:ascii="宋体"/>
        </w:rPr>
      </w:pPr>
    </w:p>
    <w:p>
      <w:pPr>
        <w:keepNext w:val="0"/>
        <w:keepLines w:val="0"/>
        <w:pageBreakBefore w:val="0"/>
        <w:kinsoku/>
        <w:wordWrap/>
        <w:overflowPunct/>
        <w:topLinePunct w:val="0"/>
        <w:autoSpaceDE/>
        <w:autoSpaceDN/>
        <w:bidi w:val="0"/>
        <w:snapToGrid w:val="0"/>
        <w:spacing w:line="360" w:lineRule="auto"/>
        <w:textAlignment w:val="auto"/>
        <w:rPr>
          <w:rFonts w:ascii="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ascii="宋体"/>
                <w:b/>
                <w:sz w:val="32"/>
                <w:szCs w:val="32"/>
              </w:rPr>
            </w:pPr>
            <w:r>
              <w:rPr>
                <w:rFonts w:hint="eastAsia" w:ascii="宋体" w:hAnsi="宋体"/>
                <w:b/>
                <w:spacing w:val="30"/>
                <w:sz w:val="32"/>
                <w:szCs w:val="32"/>
              </w:rPr>
              <w:t>项目名称：</w:t>
            </w:r>
          </w:p>
        </w:tc>
        <w:tc>
          <w:tcPr>
            <w:tcW w:w="5670" w:type="dxa"/>
            <w:noWrap w:val="0"/>
            <w:vAlign w:val="center"/>
          </w:tcPr>
          <w:p>
            <w:pPr>
              <w:snapToGrid w:val="0"/>
              <w:jc w:val="center"/>
              <w:rPr>
                <w:rFonts w:ascii="宋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ascii="宋体"/>
                <w:b/>
                <w:sz w:val="32"/>
                <w:szCs w:val="32"/>
              </w:rPr>
            </w:pPr>
            <w:r>
              <w:rPr>
                <w:rFonts w:hint="eastAsia" w:ascii="宋体" w:hAnsi="宋体"/>
                <w:b/>
                <w:spacing w:val="30"/>
                <w:sz w:val="32"/>
                <w:szCs w:val="32"/>
              </w:rPr>
              <w:t>负责单位：</w:t>
            </w:r>
          </w:p>
        </w:tc>
        <w:tc>
          <w:tcPr>
            <w:tcW w:w="5670" w:type="dxa"/>
            <w:noWrap w:val="0"/>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ascii="宋体"/>
                <w:b/>
                <w:sz w:val="32"/>
                <w:szCs w:val="32"/>
              </w:rPr>
            </w:pPr>
            <w:r>
              <w:rPr>
                <w:rFonts w:hint="eastAsia" w:ascii="宋体" w:hAnsi="宋体"/>
                <w:b/>
                <w:sz w:val="32"/>
                <w:szCs w:val="32"/>
              </w:rPr>
              <w:t>项目负责人：</w:t>
            </w:r>
          </w:p>
        </w:tc>
        <w:tc>
          <w:tcPr>
            <w:tcW w:w="5670" w:type="dxa"/>
            <w:noWrap w:val="0"/>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ascii="宋体" w:hAnsi="宋体"/>
                <w:b/>
                <w:sz w:val="32"/>
                <w:szCs w:val="32"/>
              </w:rPr>
            </w:pPr>
            <w:r>
              <w:rPr>
                <w:rFonts w:hint="eastAsia" w:ascii="宋体" w:hAnsi="宋体"/>
                <w:b/>
                <w:sz w:val="32"/>
                <w:szCs w:val="32"/>
              </w:rPr>
              <w:t>职      称：</w:t>
            </w:r>
          </w:p>
        </w:tc>
        <w:tc>
          <w:tcPr>
            <w:tcW w:w="5670" w:type="dxa"/>
            <w:noWrap w:val="0"/>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ascii="宋体" w:hAnsi="宋体"/>
                <w:b/>
                <w:spacing w:val="30"/>
                <w:sz w:val="32"/>
                <w:szCs w:val="32"/>
              </w:rPr>
            </w:pPr>
            <w:r>
              <w:rPr>
                <w:rFonts w:hint="eastAsia" w:ascii="宋体" w:hAnsi="宋体"/>
                <w:b/>
                <w:sz w:val="32"/>
                <w:szCs w:val="32"/>
              </w:rPr>
              <w:t>学      历：</w:t>
            </w:r>
          </w:p>
        </w:tc>
        <w:tc>
          <w:tcPr>
            <w:tcW w:w="5670" w:type="dxa"/>
            <w:noWrap w:val="0"/>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ascii="宋体" w:hAnsi="宋体"/>
                <w:b/>
                <w:spacing w:val="30"/>
                <w:sz w:val="32"/>
                <w:szCs w:val="32"/>
              </w:rPr>
            </w:pPr>
            <w:r>
              <w:rPr>
                <w:rFonts w:hint="eastAsia" w:ascii="宋体" w:hAnsi="宋体"/>
                <w:b/>
                <w:sz w:val="32"/>
                <w:szCs w:val="32"/>
              </w:rPr>
              <w:t>电      话：</w:t>
            </w:r>
          </w:p>
        </w:tc>
        <w:tc>
          <w:tcPr>
            <w:tcW w:w="5670" w:type="dxa"/>
            <w:noWrap w:val="0"/>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ascii="宋体" w:hAnsi="宋体"/>
                <w:b/>
                <w:sz w:val="32"/>
                <w:szCs w:val="32"/>
              </w:rPr>
            </w:pPr>
            <w:r>
              <w:rPr>
                <w:rFonts w:hint="eastAsia" w:ascii="宋体" w:hAnsi="宋体"/>
                <w:b/>
                <w:sz w:val="32"/>
                <w:szCs w:val="32"/>
              </w:rPr>
              <w:t>手      机：</w:t>
            </w:r>
          </w:p>
        </w:tc>
        <w:tc>
          <w:tcPr>
            <w:tcW w:w="5670" w:type="dxa"/>
            <w:noWrap w:val="0"/>
            <w:vAlign w:val="center"/>
          </w:tcPr>
          <w:p>
            <w:pPr>
              <w:snapToGrid w:val="0"/>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hint="eastAsia" w:ascii="宋体" w:hAnsi="宋体"/>
                <w:b/>
                <w:spacing w:val="30"/>
                <w:sz w:val="32"/>
                <w:szCs w:val="32"/>
              </w:rPr>
            </w:pPr>
            <w:r>
              <w:rPr>
                <w:rFonts w:hint="eastAsia" w:ascii="宋体" w:hAnsi="宋体"/>
                <w:b/>
                <w:spacing w:val="30"/>
                <w:sz w:val="32"/>
                <w:szCs w:val="32"/>
              </w:rPr>
              <w:t>电子邮箱：</w:t>
            </w:r>
          </w:p>
        </w:tc>
        <w:tc>
          <w:tcPr>
            <w:tcW w:w="5670" w:type="dxa"/>
            <w:noWrap w:val="0"/>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hint="eastAsia" w:ascii="宋体" w:hAnsi="宋体"/>
                <w:b/>
                <w:spacing w:val="30"/>
                <w:sz w:val="32"/>
                <w:szCs w:val="32"/>
              </w:rPr>
            </w:pPr>
            <w:r>
              <w:rPr>
                <w:rFonts w:hint="eastAsia" w:ascii="宋体" w:hAnsi="宋体"/>
                <w:b/>
                <w:spacing w:val="30"/>
                <w:sz w:val="32"/>
                <w:szCs w:val="32"/>
              </w:rPr>
              <w:t>通讯地址：</w:t>
            </w:r>
          </w:p>
        </w:tc>
        <w:tc>
          <w:tcPr>
            <w:tcW w:w="5670" w:type="dxa"/>
            <w:noWrap w:val="0"/>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pPr>
              <w:snapToGrid w:val="0"/>
              <w:jc w:val="left"/>
              <w:rPr>
                <w:rFonts w:hint="eastAsia" w:ascii="宋体" w:hAnsi="宋体"/>
                <w:b/>
                <w:spacing w:val="30"/>
                <w:sz w:val="32"/>
                <w:szCs w:val="32"/>
              </w:rPr>
            </w:pPr>
            <w:r>
              <w:rPr>
                <w:rFonts w:hint="eastAsia" w:ascii="宋体" w:hAnsi="宋体"/>
                <w:b/>
                <w:spacing w:val="30"/>
                <w:sz w:val="32"/>
                <w:szCs w:val="32"/>
              </w:rPr>
              <w:t>邮政编码：</w:t>
            </w:r>
          </w:p>
        </w:tc>
        <w:tc>
          <w:tcPr>
            <w:tcW w:w="5670" w:type="dxa"/>
            <w:noWrap w:val="0"/>
            <w:vAlign w:val="center"/>
          </w:tcPr>
          <w:p>
            <w:pPr>
              <w:snapToGrid w:val="0"/>
              <w:jc w:val="center"/>
              <w:rPr>
                <w:rFonts w:ascii="宋体"/>
                <w:b/>
                <w:sz w:val="24"/>
              </w:rPr>
            </w:pPr>
          </w:p>
        </w:tc>
      </w:tr>
    </w:tbl>
    <w:p>
      <w:pPr>
        <w:keepNext w:val="0"/>
        <w:keepLines w:val="0"/>
        <w:pageBreakBefore w:val="0"/>
        <w:kinsoku/>
        <w:wordWrap/>
        <w:overflowPunct/>
        <w:topLinePunct w:val="0"/>
        <w:autoSpaceDE/>
        <w:autoSpaceDN/>
        <w:bidi w:val="0"/>
        <w:snapToGrid w:val="0"/>
        <w:spacing w:line="360" w:lineRule="auto"/>
        <w:textAlignment w:val="auto"/>
        <w:rPr>
          <w:rFonts w:ascii="宋体"/>
        </w:rPr>
      </w:pPr>
    </w:p>
    <w:p>
      <w:pPr>
        <w:keepNext w:val="0"/>
        <w:keepLines w:val="0"/>
        <w:pageBreakBefore w:val="0"/>
        <w:kinsoku/>
        <w:wordWrap/>
        <w:overflowPunct/>
        <w:topLinePunct w:val="0"/>
        <w:autoSpaceDE/>
        <w:autoSpaceDN/>
        <w:bidi w:val="0"/>
        <w:snapToGrid w:val="0"/>
        <w:spacing w:line="360" w:lineRule="auto"/>
        <w:jc w:val="center"/>
        <w:textAlignment w:val="auto"/>
        <w:rPr>
          <w:rFonts w:ascii="宋体"/>
          <w:b/>
          <w:sz w:val="30"/>
        </w:rPr>
      </w:pPr>
      <w:r>
        <w:rPr>
          <w:rFonts w:hint="eastAsia" w:ascii="宋体"/>
          <w:b/>
          <w:sz w:val="30"/>
        </w:rPr>
        <w:t>研究开发年限：</w:t>
      </w:r>
      <w:r>
        <w:rPr>
          <w:rFonts w:ascii="宋体"/>
          <w:b/>
          <w:sz w:val="30"/>
        </w:rPr>
        <w:t>________</w:t>
      </w:r>
      <w:r>
        <w:rPr>
          <w:rFonts w:hint="eastAsia" w:ascii="宋体"/>
          <w:b/>
          <w:sz w:val="30"/>
        </w:rPr>
        <w:t>年</w:t>
      </w:r>
      <w:r>
        <w:rPr>
          <w:rFonts w:ascii="宋体"/>
          <w:b/>
          <w:sz w:val="30"/>
        </w:rPr>
        <w:t>___</w:t>
      </w:r>
      <w:r>
        <w:rPr>
          <w:rFonts w:hint="eastAsia" w:ascii="宋体"/>
          <w:b/>
          <w:sz w:val="30"/>
        </w:rPr>
        <w:t>月至</w:t>
      </w:r>
      <w:r>
        <w:rPr>
          <w:rFonts w:ascii="宋体"/>
          <w:b/>
          <w:sz w:val="30"/>
        </w:rPr>
        <w:t>_______</w:t>
      </w:r>
      <w:r>
        <w:rPr>
          <w:rFonts w:hint="eastAsia" w:ascii="宋体"/>
          <w:b/>
          <w:sz w:val="30"/>
        </w:rPr>
        <w:t>年</w:t>
      </w:r>
      <w:r>
        <w:rPr>
          <w:rFonts w:ascii="宋体"/>
          <w:b/>
          <w:sz w:val="30"/>
        </w:rPr>
        <w:t>___</w:t>
      </w:r>
      <w:r>
        <w:rPr>
          <w:rFonts w:hint="eastAsia" w:ascii="宋体"/>
          <w:b/>
          <w:sz w:val="30"/>
        </w:rPr>
        <w:t>月</w:t>
      </w:r>
    </w:p>
    <w:p>
      <w:pPr>
        <w:keepNext w:val="0"/>
        <w:keepLines w:val="0"/>
        <w:pageBreakBefore w:val="0"/>
        <w:kinsoku/>
        <w:wordWrap/>
        <w:overflowPunct/>
        <w:topLinePunct w:val="0"/>
        <w:autoSpaceDE/>
        <w:autoSpaceDN/>
        <w:bidi w:val="0"/>
        <w:snapToGrid w:val="0"/>
        <w:spacing w:line="360" w:lineRule="auto"/>
        <w:jc w:val="both"/>
        <w:textAlignment w:val="auto"/>
        <w:rPr>
          <w:rFonts w:ascii="宋体"/>
        </w:rPr>
      </w:pPr>
    </w:p>
    <w:p>
      <w:pPr>
        <w:keepNext w:val="0"/>
        <w:keepLines w:val="0"/>
        <w:pageBreakBefore w:val="0"/>
        <w:kinsoku/>
        <w:wordWrap/>
        <w:overflowPunct/>
        <w:topLinePunct w:val="0"/>
        <w:autoSpaceDE/>
        <w:autoSpaceDN/>
        <w:bidi w:val="0"/>
        <w:spacing w:line="360" w:lineRule="auto"/>
        <w:jc w:val="center"/>
        <w:textAlignment w:val="auto"/>
        <w:rPr>
          <w:rFonts w:ascii="黑体" w:eastAsia="黑体"/>
          <w:sz w:val="28"/>
        </w:rPr>
      </w:pPr>
      <w:r>
        <w:rPr>
          <w:rFonts w:ascii="黑体" w:eastAsia="黑体"/>
          <w:snapToGrid w:val="0"/>
          <w:kern w:val="28"/>
          <w:sz w:val="36"/>
          <w:szCs w:val="36"/>
        </w:rPr>
        <w:br w:type="page"/>
      </w:r>
      <w:r>
        <w:rPr>
          <w:rFonts w:hint="eastAsia" w:ascii="黑体" w:eastAsia="黑体"/>
          <w:sz w:val="28"/>
        </w:rPr>
        <w:t>编</w:t>
      </w:r>
      <w:r>
        <w:rPr>
          <w:rFonts w:ascii="黑体" w:eastAsia="黑体"/>
          <w:sz w:val="28"/>
        </w:rPr>
        <w:t xml:space="preserve">  </w:t>
      </w:r>
      <w:r>
        <w:rPr>
          <w:rFonts w:hint="eastAsia" w:ascii="黑体" w:eastAsia="黑体"/>
          <w:sz w:val="28"/>
        </w:rPr>
        <w:t>制</w:t>
      </w:r>
      <w:r>
        <w:rPr>
          <w:rFonts w:ascii="黑体" w:eastAsia="黑体"/>
          <w:sz w:val="28"/>
        </w:rPr>
        <w:t xml:space="preserve">  </w:t>
      </w:r>
      <w:r>
        <w:rPr>
          <w:rFonts w:hint="eastAsia" w:ascii="黑体" w:eastAsia="黑体"/>
          <w:sz w:val="28"/>
        </w:rPr>
        <w:t>须</w:t>
      </w:r>
      <w:r>
        <w:rPr>
          <w:rFonts w:ascii="黑体" w:eastAsia="黑体"/>
          <w:sz w:val="28"/>
        </w:rPr>
        <w:t xml:space="preserve">  </w:t>
      </w:r>
      <w:r>
        <w:rPr>
          <w:rFonts w:hint="eastAsia" w:ascii="黑体" w:eastAsia="黑体"/>
          <w:sz w:val="28"/>
        </w:rPr>
        <w:t>知</w:t>
      </w:r>
    </w:p>
    <w:p>
      <w:pPr>
        <w:keepNext w:val="0"/>
        <w:keepLines w:val="0"/>
        <w:pageBreakBefore w:val="0"/>
        <w:kinsoku/>
        <w:wordWrap/>
        <w:overflowPunct/>
        <w:topLinePunct w:val="0"/>
        <w:autoSpaceDE/>
        <w:autoSpaceDN/>
        <w:bidi w:val="0"/>
        <w:spacing w:line="360" w:lineRule="auto"/>
        <w:ind w:firstLine="525"/>
        <w:textAlignment w:val="auto"/>
        <w:rPr>
          <w:rFonts w:ascii="仿宋_GB2312"/>
        </w:rPr>
      </w:pPr>
    </w:p>
    <w:p>
      <w:pPr>
        <w:pStyle w:val="3"/>
        <w:keepNext w:val="0"/>
        <w:keepLines w:val="0"/>
        <w:pageBreakBefore w:val="0"/>
        <w:kinsoku/>
        <w:wordWrap/>
        <w:overflowPunct/>
        <w:topLinePunct w:val="0"/>
        <w:autoSpaceDE/>
        <w:autoSpaceDN/>
        <w:bidi w:val="0"/>
        <w:spacing w:line="360" w:lineRule="auto"/>
        <w:ind w:firstLine="560"/>
        <w:textAlignment w:val="auto"/>
        <w:rPr>
          <w:sz w:val="28"/>
        </w:rPr>
      </w:pPr>
      <w:r>
        <w:rPr>
          <w:rFonts w:hint="eastAsia"/>
          <w:sz w:val="28"/>
        </w:rPr>
        <w:t>一、申请承担开放课题时，应先向</w:t>
      </w:r>
      <w:r>
        <w:rPr>
          <w:sz w:val="28"/>
        </w:rPr>
        <w:t>石油化工</w:t>
      </w:r>
      <w:r>
        <w:rPr>
          <w:rFonts w:hint="eastAsia"/>
          <w:sz w:val="28"/>
          <w:lang w:eastAsia="zh-CN"/>
        </w:rPr>
        <w:t>分子转化</w:t>
      </w:r>
      <w:r>
        <w:rPr>
          <w:sz w:val="28"/>
        </w:rPr>
        <w:t>与反应工程</w:t>
      </w:r>
      <w:r>
        <w:rPr>
          <w:rFonts w:hint="eastAsia"/>
          <w:sz w:val="28"/>
          <w:lang w:eastAsia="zh-CN"/>
        </w:rPr>
        <w:t>全国</w:t>
      </w:r>
      <w:r>
        <w:rPr>
          <w:sz w:val="28"/>
        </w:rPr>
        <w:t>重点实验室</w:t>
      </w:r>
      <w:r>
        <w:rPr>
          <w:rFonts w:hint="eastAsia"/>
          <w:sz w:val="28"/>
        </w:rPr>
        <w:t>申报本开题报告。</w:t>
      </w:r>
    </w:p>
    <w:p>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二、申报开题者均须同时附送查新报告、文献调查总结及探索试验情况介绍。</w:t>
      </w:r>
    </w:p>
    <w:p>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三、</w:t>
      </w:r>
      <w:r>
        <w:rPr>
          <w:rFonts w:eastAsia="仿宋_GB2312"/>
          <w:sz w:val="28"/>
          <w:szCs w:val="20"/>
        </w:rPr>
        <w:t>石油化工</w:t>
      </w:r>
      <w:r>
        <w:rPr>
          <w:rFonts w:hint="eastAsia" w:eastAsia="仿宋_GB2312"/>
          <w:sz w:val="28"/>
          <w:szCs w:val="20"/>
          <w:lang w:eastAsia="zh-CN"/>
        </w:rPr>
        <w:t>分子转化</w:t>
      </w:r>
      <w:r>
        <w:rPr>
          <w:rFonts w:eastAsia="仿宋_GB2312"/>
          <w:sz w:val="28"/>
          <w:szCs w:val="20"/>
        </w:rPr>
        <w:t>与反应工程</w:t>
      </w:r>
      <w:r>
        <w:rPr>
          <w:rFonts w:hint="eastAsia" w:eastAsia="仿宋_GB2312"/>
          <w:sz w:val="28"/>
          <w:szCs w:val="20"/>
          <w:lang w:eastAsia="zh-CN"/>
        </w:rPr>
        <w:t>全国</w:t>
      </w:r>
      <w:r>
        <w:rPr>
          <w:rFonts w:eastAsia="仿宋_GB2312"/>
          <w:sz w:val="28"/>
          <w:szCs w:val="20"/>
        </w:rPr>
        <w:t>重点实验室</w:t>
      </w:r>
      <w:r>
        <w:rPr>
          <w:rFonts w:hint="eastAsia" w:ascii="仿宋_GB2312" w:eastAsia="仿宋_GB2312"/>
          <w:sz w:val="28"/>
        </w:rPr>
        <w:t>根据收到的开题报告及其相应附件进行审议，经审议选定的项目可签订技术开发（委托）合同。</w:t>
      </w:r>
    </w:p>
    <w:p>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四、本开题报告版本自2018年1月起启用。</w:t>
      </w:r>
    </w:p>
    <w:p>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五、注意事项：</w:t>
      </w:r>
    </w:p>
    <w:p>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1. 项目名称不得超过20个汉字。</w:t>
      </w:r>
    </w:p>
    <w:p>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2. 项目负责人一般应具有高级专业技术职称或具有博士学位，申请人不具有高级专业技术职务或博士学位的，须有两名具有高级专业技术职务的同行专家</w:t>
      </w:r>
      <w:r>
        <w:rPr>
          <w:rFonts w:ascii="仿宋_GB2312" w:eastAsia="仿宋_GB2312"/>
          <w:sz w:val="28"/>
        </w:rPr>
        <w:t>书面推荐</w:t>
      </w:r>
      <w:r>
        <w:rPr>
          <w:rFonts w:hint="eastAsia" w:ascii="仿宋_GB2312" w:eastAsia="仿宋_GB2312"/>
          <w:sz w:val="28"/>
        </w:rPr>
        <w:t>。申请人申报的课题须经所在单位同意并签章。一个项目原则上只设一名负责人，特殊情况下可设两名负责人。</w:t>
      </w:r>
    </w:p>
    <w:p>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3.开题报告经申请单位初审，加盖申请单位（或其科技处）公章后，报</w:t>
      </w:r>
      <w:r>
        <w:rPr>
          <w:rFonts w:eastAsia="仿宋_GB2312"/>
          <w:sz w:val="28"/>
          <w:szCs w:val="20"/>
        </w:rPr>
        <w:t>石油化工</w:t>
      </w:r>
      <w:r>
        <w:rPr>
          <w:rFonts w:hint="eastAsia" w:eastAsia="仿宋_GB2312"/>
          <w:sz w:val="28"/>
          <w:szCs w:val="20"/>
          <w:lang w:eastAsia="zh-CN"/>
        </w:rPr>
        <w:t>分子转化</w:t>
      </w:r>
      <w:r>
        <w:rPr>
          <w:rFonts w:eastAsia="仿宋_GB2312"/>
          <w:sz w:val="28"/>
          <w:szCs w:val="20"/>
        </w:rPr>
        <w:t>与反应工程</w:t>
      </w:r>
      <w:r>
        <w:rPr>
          <w:rFonts w:hint="eastAsia" w:eastAsia="仿宋_GB2312"/>
          <w:sz w:val="28"/>
          <w:szCs w:val="20"/>
          <w:lang w:eastAsia="zh-CN"/>
        </w:rPr>
        <w:t>全国</w:t>
      </w:r>
      <w:r>
        <w:rPr>
          <w:rFonts w:eastAsia="仿宋_GB2312"/>
          <w:sz w:val="28"/>
          <w:szCs w:val="20"/>
        </w:rPr>
        <w:t>重点实验室</w:t>
      </w:r>
      <w:r>
        <w:rPr>
          <w:rFonts w:hint="eastAsia" w:ascii="仿宋_GB2312" w:eastAsia="仿宋_GB2312"/>
          <w:sz w:val="28"/>
        </w:rPr>
        <w:t>（一式贰份）。</w:t>
      </w:r>
    </w:p>
    <w:p>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4.本报告纸张规格为A4。</w:t>
      </w:r>
    </w:p>
    <w:p>
      <w:pPr>
        <w:keepNext w:val="0"/>
        <w:keepLines w:val="0"/>
        <w:pageBreakBefore w:val="0"/>
        <w:kinsoku/>
        <w:wordWrap/>
        <w:overflowPunct/>
        <w:topLinePunct w:val="0"/>
        <w:autoSpaceDE/>
        <w:autoSpaceDN/>
        <w:bidi w:val="0"/>
        <w:spacing w:line="360" w:lineRule="auto"/>
        <w:textAlignment w:val="auto"/>
        <w:rPr>
          <w:rFonts w:ascii="宋体"/>
        </w:rPr>
        <w:sectPr>
          <w:footerReference r:id="rId5" w:type="default"/>
          <w:footerReference r:id="rId6" w:type="even"/>
          <w:pgSz w:w="11907" w:h="16840"/>
          <w:pgMar w:top="1701" w:right="1701" w:bottom="1985" w:left="1701" w:header="680" w:footer="1418" w:gutter="113"/>
          <w:pgNumType w:start="0"/>
          <w:cols w:space="425" w:num="1"/>
          <w:titlePg/>
          <w:docGrid w:linePitch="286" w:charSpace="0"/>
        </w:sect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hint="eastAsia" w:ascii="黑体" w:eastAsia="黑体"/>
          <w:sz w:val="28"/>
        </w:rPr>
        <w:t>一、国内外现状、发展趋势及开题意义</w:t>
      </w:r>
    </w:p>
    <w:p>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（一）国外相关产业和技术现状、发展趋势</w:t>
      </w: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（二）国内相关产业和技术现状、发展趋势</w:t>
      </w: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（三）项目的创新性</w:t>
      </w: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ascii="宋体"/>
          <w:sz w:val="28"/>
        </w:rPr>
        <w:br w:type="page"/>
      </w:r>
      <w:r>
        <w:rPr>
          <w:rFonts w:hint="eastAsia" w:ascii="黑体" w:eastAsia="黑体"/>
          <w:sz w:val="28"/>
        </w:rPr>
        <w:t>二、研究开发的目标、内容、技术方法和路线、技术经济指标</w:t>
      </w:r>
    </w:p>
    <w:p>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（一）技术目标</w:t>
      </w: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（二）技术内容和技术关键</w:t>
      </w: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（三）技术方法、路线及其可行性分析</w:t>
      </w: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（四）技术经济指标(如为基础性研究课题，此项可不填写)</w:t>
      </w: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hint="eastAsia" w:ascii="黑体" w:eastAsia="黑体"/>
          <w:sz w:val="28"/>
        </w:rPr>
        <w:t>三、知识产权状况</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（一）已有知识产权情况（专利号、专利申请号、申请人、专利名称）</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（二）相关国内外专利检索结果（检索主题词、检索数据库名称、相关专利号、专利申请号、申请人、专利名称）</w:t>
      </w: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（三）国内外文献查询结果（文献名称、来源、发表人）</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四）中国授权或公开的相关专利分析（给出本研究目前是否和国内已公开专利相冲突的分析结论，对有相冲突可能的专利，给出专利号、专利申请号、申请人、专利名称，法律状态、专利权利要求，提出的创新或规避对策）</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（五）国外公开文献和未在中国申请的相关国外专利分析（概述这些文献和专利的创新和效果，提出本课题予以借鉴、利用的设想）</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ascii="黑体" w:eastAsia="黑体"/>
        </w:rPr>
        <w:br w:type="page"/>
      </w:r>
      <w:r>
        <w:rPr>
          <w:rFonts w:hint="eastAsia" w:ascii="黑体" w:eastAsia="黑体"/>
          <w:sz w:val="28"/>
        </w:rPr>
        <w:t>四、市场前景分析（如果为基础性研究课题，此项可不填写）</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（一）国内外市场现状和需求分析</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（二）经济效益和社会效益预测</w:t>
      </w: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ascii="黑体" w:eastAsia="黑体"/>
          <w:sz w:val="28"/>
        </w:rPr>
        <w:br w:type="page"/>
      </w: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hint="eastAsia" w:ascii="黑体" w:eastAsia="黑体"/>
          <w:sz w:val="28"/>
        </w:rPr>
        <w:t>五、开题条件</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（一）技术准备</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（二）人员情况</w:t>
      </w: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p>
    <w:p>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（三）现有仪器设备及实验室条件</w:t>
      </w:r>
    </w:p>
    <w:p>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textAlignment w:val="auto"/>
        <w:rPr>
          <w:rFonts w:ascii="宋体"/>
          <w:sz w:val="28"/>
        </w:rPr>
      </w:pPr>
    </w:p>
    <w:p>
      <w:pPr>
        <w:keepNext w:val="0"/>
        <w:keepLines w:val="0"/>
        <w:pageBreakBefore w:val="0"/>
        <w:kinsoku/>
        <w:wordWrap/>
        <w:overflowPunct/>
        <w:topLinePunct w:val="0"/>
        <w:autoSpaceDE/>
        <w:autoSpaceDN/>
        <w:bidi w:val="0"/>
        <w:spacing w:line="360" w:lineRule="auto"/>
        <w:ind w:right="-721"/>
        <w:textAlignment w:val="auto"/>
        <w:rPr>
          <w:rFonts w:ascii="宋体"/>
          <w:sz w:val="28"/>
        </w:rPr>
      </w:pPr>
    </w:p>
    <w:p>
      <w:pPr>
        <w:keepNext w:val="0"/>
        <w:keepLines w:val="0"/>
        <w:pageBreakBefore w:val="0"/>
        <w:kinsoku/>
        <w:wordWrap/>
        <w:overflowPunct/>
        <w:topLinePunct w:val="0"/>
        <w:autoSpaceDE/>
        <w:autoSpaceDN/>
        <w:bidi w:val="0"/>
        <w:spacing w:line="360" w:lineRule="auto"/>
        <w:ind w:right="-721"/>
        <w:textAlignment w:val="auto"/>
        <w:rPr>
          <w:rFonts w:ascii="宋体"/>
          <w:sz w:val="28"/>
        </w:rPr>
      </w:pPr>
    </w:p>
    <w:p>
      <w:pPr>
        <w:keepNext w:val="0"/>
        <w:keepLines w:val="0"/>
        <w:pageBreakBefore w:val="0"/>
        <w:kinsoku/>
        <w:wordWrap/>
        <w:overflowPunct/>
        <w:topLinePunct w:val="0"/>
        <w:autoSpaceDE/>
        <w:autoSpaceDN/>
        <w:bidi w:val="0"/>
        <w:spacing w:line="360" w:lineRule="auto"/>
        <w:ind w:right="-721"/>
        <w:textAlignment w:val="auto"/>
        <w:rPr>
          <w:rFonts w:ascii="宋体"/>
          <w:sz w:val="28"/>
        </w:rPr>
      </w:pPr>
    </w:p>
    <w:p>
      <w:pPr>
        <w:keepNext w:val="0"/>
        <w:keepLines w:val="0"/>
        <w:pageBreakBefore w:val="0"/>
        <w:kinsoku/>
        <w:wordWrap/>
        <w:overflowPunct/>
        <w:topLinePunct w:val="0"/>
        <w:autoSpaceDE/>
        <w:autoSpaceDN/>
        <w:bidi w:val="0"/>
        <w:spacing w:line="360" w:lineRule="auto"/>
        <w:ind w:right="-721"/>
        <w:textAlignment w:val="auto"/>
        <w:rPr>
          <w:rFonts w:ascii="宋体"/>
          <w:sz w:val="28"/>
        </w:rPr>
      </w:pPr>
    </w:p>
    <w:p>
      <w:pPr>
        <w:keepNext w:val="0"/>
        <w:keepLines w:val="0"/>
        <w:pageBreakBefore w:val="0"/>
        <w:kinsoku/>
        <w:wordWrap/>
        <w:overflowPunct/>
        <w:topLinePunct w:val="0"/>
        <w:autoSpaceDE/>
        <w:autoSpaceDN/>
        <w:bidi w:val="0"/>
        <w:spacing w:line="360" w:lineRule="auto"/>
        <w:ind w:right="-721"/>
        <w:textAlignment w:val="auto"/>
        <w:rPr>
          <w:rFonts w:ascii="宋体"/>
          <w:sz w:val="28"/>
        </w:rPr>
      </w:pPr>
    </w:p>
    <w:p>
      <w:pPr>
        <w:keepNext w:val="0"/>
        <w:keepLines w:val="0"/>
        <w:pageBreakBefore w:val="0"/>
        <w:kinsoku/>
        <w:wordWrap/>
        <w:overflowPunct/>
        <w:topLinePunct w:val="0"/>
        <w:autoSpaceDE/>
        <w:autoSpaceDN/>
        <w:bidi w:val="0"/>
        <w:spacing w:line="360" w:lineRule="auto"/>
        <w:ind w:right="-721"/>
        <w:textAlignment w:val="auto"/>
        <w:rPr>
          <w:rFonts w:ascii="宋体"/>
        </w:rPr>
      </w:pPr>
      <w:r>
        <w:rPr>
          <w:rFonts w:ascii="宋体"/>
        </w:rPr>
        <w:t>*</w:t>
      </w:r>
      <w:r>
        <w:rPr>
          <w:rFonts w:hint="eastAsia" w:ascii="宋体"/>
        </w:rPr>
        <w:t>人员情况系指专题负责人和主要参加人的姓名、职务、专业技术职称及主要科技成就。</w:t>
      </w:r>
    </w:p>
    <w:p>
      <w:pPr>
        <w:keepNext w:val="0"/>
        <w:keepLines w:val="0"/>
        <w:pageBreakBefore w:val="0"/>
        <w:kinsoku/>
        <w:wordWrap/>
        <w:overflowPunct/>
        <w:topLinePunct w:val="0"/>
        <w:autoSpaceDE/>
        <w:autoSpaceDN/>
        <w:bidi w:val="0"/>
        <w:spacing w:line="360" w:lineRule="auto"/>
        <w:ind w:right="-721"/>
        <w:textAlignment w:val="auto"/>
        <w:rPr>
          <w:rFonts w:ascii="黑体" w:eastAsia="黑体"/>
        </w:rPr>
        <w:sectPr>
          <w:pgSz w:w="11907" w:h="16840"/>
          <w:pgMar w:top="1701" w:right="1701" w:bottom="1985" w:left="1701" w:header="680" w:footer="1418" w:gutter="113"/>
          <w:pgNumType w:fmt="numberInDash" w:start="2"/>
          <w:cols w:space="425" w:num="1"/>
          <w:docGrid w:linePitch="285" w:charSpace="0"/>
        </w:sectPr>
      </w:pPr>
    </w:p>
    <w:p>
      <w:pPr>
        <w:keepNext w:val="0"/>
        <w:keepLines w:val="0"/>
        <w:pageBreakBefore w:val="0"/>
        <w:kinsoku/>
        <w:wordWrap/>
        <w:overflowPunct/>
        <w:topLinePunct w:val="0"/>
        <w:autoSpaceDE/>
        <w:autoSpaceDN/>
        <w:bidi w:val="0"/>
        <w:spacing w:line="360" w:lineRule="auto"/>
        <w:ind w:left="-1680" w:leftChars="-800" w:right="-1261" w:firstLine="366" w:firstLineChars="131"/>
        <w:textAlignment w:val="auto"/>
        <w:rPr>
          <w:rFonts w:ascii="黑体" w:eastAsia="黑体"/>
        </w:rPr>
      </w:pPr>
      <w:r>
        <w:rPr>
          <w:rFonts w:hint="eastAsia" w:ascii="黑体" w:eastAsia="黑体"/>
          <w:sz w:val="28"/>
        </w:rPr>
        <w:t>六、计划进度和考核目标</w:t>
      </w:r>
      <w:r>
        <w:rPr>
          <w:rFonts w:hint="eastAsia" w:ascii="楷体_GB2312" w:eastAsia="楷体_GB2312"/>
          <w:sz w:val="28"/>
        </w:rPr>
        <w:t>（时间段202</w:t>
      </w:r>
      <w:r>
        <w:rPr>
          <w:rFonts w:hint="eastAsia" w:ascii="楷体_GB2312" w:eastAsia="楷体_GB2312"/>
          <w:sz w:val="28"/>
          <w:lang w:val="en-US" w:eastAsia="zh-CN"/>
        </w:rPr>
        <w:t>5</w:t>
      </w:r>
      <w:r>
        <w:rPr>
          <w:rFonts w:hint="eastAsia" w:ascii="楷体_GB2312" w:eastAsia="楷体_GB2312"/>
          <w:sz w:val="28"/>
        </w:rPr>
        <w:t>年1月-202</w:t>
      </w:r>
      <w:r>
        <w:rPr>
          <w:rFonts w:hint="eastAsia" w:ascii="楷体_GB2312" w:eastAsia="楷体_GB2312"/>
          <w:sz w:val="28"/>
          <w:lang w:val="en-US" w:eastAsia="zh-CN"/>
        </w:rPr>
        <w:t>6</w:t>
      </w:r>
      <w:r>
        <w:rPr>
          <w:rFonts w:hint="eastAsia" w:ascii="楷体_GB2312" w:eastAsia="楷体_GB2312"/>
          <w:sz w:val="28"/>
        </w:rPr>
        <w:t>年</w:t>
      </w:r>
      <w:r>
        <w:rPr>
          <w:rFonts w:hint="eastAsia" w:ascii="楷体_GB2312" w:eastAsia="楷体_GB2312"/>
          <w:sz w:val="28"/>
          <w:lang w:val="en-US" w:eastAsia="zh-CN"/>
        </w:rPr>
        <w:t>12</w:t>
      </w:r>
      <w:r>
        <w:rPr>
          <w:rFonts w:hint="eastAsia" w:ascii="楷体_GB2312" w:eastAsia="楷体_GB2312"/>
          <w:sz w:val="28"/>
        </w:rPr>
        <w:t>月）</w:t>
      </w:r>
    </w:p>
    <w:p>
      <w:pPr>
        <w:keepNext w:val="0"/>
        <w:keepLines w:val="0"/>
        <w:pageBreakBefore w:val="0"/>
        <w:kinsoku/>
        <w:wordWrap/>
        <w:overflowPunct/>
        <w:topLinePunct w:val="0"/>
        <w:autoSpaceDE/>
        <w:autoSpaceDN/>
        <w:bidi w:val="0"/>
        <w:spacing w:line="360" w:lineRule="auto"/>
        <w:ind w:right="-1261"/>
        <w:textAlignment w:val="auto"/>
        <w:rPr>
          <w:rFonts w:ascii="黑体" w:eastAsia="黑体"/>
        </w:rPr>
      </w:pPr>
    </w:p>
    <w:tbl>
      <w:tblPr>
        <w:tblStyle w:val="10"/>
        <w:tblW w:w="14301" w:type="dxa"/>
        <w:tblInd w:w="-1232" w:type="dxa"/>
        <w:tblLayout w:type="fixed"/>
        <w:tblCellMar>
          <w:top w:w="0" w:type="dxa"/>
          <w:left w:w="28" w:type="dxa"/>
          <w:bottom w:w="0" w:type="dxa"/>
          <w:right w:w="28" w:type="dxa"/>
        </w:tblCellMar>
      </w:tblPr>
      <w:tblGrid>
        <w:gridCol w:w="1544"/>
        <w:gridCol w:w="567"/>
        <w:gridCol w:w="2089"/>
        <w:gridCol w:w="3297"/>
        <w:gridCol w:w="1418"/>
        <w:gridCol w:w="1559"/>
        <w:gridCol w:w="1559"/>
        <w:gridCol w:w="2268"/>
      </w:tblGrid>
      <w:tr>
        <w:tblPrEx>
          <w:tblCellMar>
            <w:top w:w="0" w:type="dxa"/>
            <w:left w:w="28" w:type="dxa"/>
            <w:bottom w:w="0" w:type="dxa"/>
            <w:right w:w="28" w:type="dxa"/>
          </w:tblCellMar>
        </w:tblPrEx>
        <w:trPr>
          <w:trHeight w:val="800" w:hRule="exact"/>
        </w:trPr>
        <w:tc>
          <w:tcPr>
            <w:tcW w:w="15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起止时间</w:t>
            </w:r>
          </w:p>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w:t>
            </w:r>
            <w:r>
              <w:rPr>
                <w:sz w:val="24"/>
              </w:rPr>
              <w:t xml:space="preserve"> </w:t>
            </w:r>
            <w:r>
              <w:rPr>
                <w:rFonts w:hint="eastAsia"/>
                <w:sz w:val="24"/>
              </w:rPr>
              <w:t>月</w:t>
            </w:r>
            <w:r>
              <w:rPr>
                <w:sz w:val="24"/>
              </w:rPr>
              <w:t xml:space="preserve">- </w:t>
            </w:r>
            <w:r>
              <w:rPr>
                <w:rFonts w:hint="eastAsia"/>
                <w:sz w:val="24"/>
              </w:rPr>
              <w:t>月）</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序</w:t>
            </w:r>
            <w:r>
              <w:rPr>
                <w:sz w:val="24"/>
              </w:rPr>
              <w:t xml:space="preserve"> </w:t>
            </w:r>
            <w:r>
              <w:rPr>
                <w:rFonts w:hint="eastAsia"/>
                <w:sz w:val="24"/>
              </w:rPr>
              <w:t>号</w:t>
            </w:r>
          </w:p>
        </w:tc>
        <w:tc>
          <w:tcPr>
            <w:tcW w:w="20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工</w:t>
            </w:r>
            <w:r>
              <w:rPr>
                <w:sz w:val="24"/>
              </w:rPr>
              <w:t xml:space="preserve"> </w:t>
            </w:r>
            <w:r>
              <w:rPr>
                <w:rFonts w:hint="eastAsia"/>
                <w:sz w:val="24"/>
              </w:rPr>
              <w:t>作</w:t>
            </w:r>
            <w:r>
              <w:rPr>
                <w:sz w:val="24"/>
              </w:rPr>
              <w:t xml:space="preserve"> </w:t>
            </w:r>
            <w:r>
              <w:rPr>
                <w:rFonts w:hint="eastAsia"/>
                <w:sz w:val="24"/>
              </w:rPr>
              <w:t>内</w:t>
            </w:r>
            <w:r>
              <w:rPr>
                <w:sz w:val="24"/>
              </w:rPr>
              <w:t xml:space="preserve"> </w:t>
            </w:r>
            <w:r>
              <w:rPr>
                <w:rFonts w:hint="eastAsia"/>
                <w:sz w:val="24"/>
              </w:rPr>
              <w:t>容</w:t>
            </w:r>
          </w:p>
        </w:tc>
        <w:tc>
          <w:tcPr>
            <w:tcW w:w="32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试验规模及应达到的指标</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试验地点</w:t>
            </w:r>
          </w:p>
        </w:tc>
        <w:tc>
          <w:tcPr>
            <w:tcW w:w="15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验收方式</w:t>
            </w:r>
          </w:p>
        </w:tc>
        <w:tc>
          <w:tcPr>
            <w:tcW w:w="15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备注</w:t>
            </w:r>
          </w:p>
        </w:tc>
        <w:tc>
          <w:tcPr>
            <w:tcW w:w="22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负责单位及负责人</w:t>
            </w: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rPr>
                <w:rFonts w:hint="default" w:eastAsia="宋体"/>
                <w:lang w:val="en-US" w:eastAsia="zh-CN"/>
              </w:rPr>
            </w:pPr>
            <w:r>
              <w:rPr>
                <w:rFonts w:hint="eastAsia"/>
              </w:rPr>
              <w:t>202</w:t>
            </w:r>
            <w:r>
              <w:rPr>
                <w:rFonts w:hint="eastAsia"/>
                <w:lang w:val="en-US" w:eastAsia="zh-CN"/>
              </w:rPr>
              <w:t>5.1</w:t>
            </w:r>
            <w:r>
              <w:rPr>
                <w:rFonts w:hint="eastAsia"/>
              </w:rPr>
              <w:t>-202</w:t>
            </w:r>
            <w:r>
              <w:rPr>
                <w:rFonts w:hint="eastAsia"/>
                <w:lang w:val="en-US" w:eastAsia="zh-CN"/>
              </w:rPr>
              <w:t>5</w:t>
            </w:r>
            <w:r>
              <w:rPr>
                <w:rFonts w:hint="eastAsia"/>
              </w:rPr>
              <w:t>.</w:t>
            </w:r>
            <w:r>
              <w:rPr>
                <w:rFonts w:hint="eastAsia"/>
                <w:lang w:val="en-US" w:eastAsia="zh-CN"/>
              </w:rPr>
              <w:t>12</w:t>
            </w: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1</w:t>
            </w:r>
          </w:p>
        </w:tc>
        <w:tc>
          <w:tcPr>
            <w:tcW w:w="208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2</w:t>
            </w:r>
          </w:p>
        </w:tc>
        <w:tc>
          <w:tcPr>
            <w:tcW w:w="208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pacing w:line="360" w:lineRule="auto"/>
              <w:textAlignment w:val="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3</w:t>
            </w:r>
          </w:p>
        </w:tc>
        <w:tc>
          <w:tcPr>
            <w:tcW w:w="208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pacing w:line="360" w:lineRule="auto"/>
              <w:textAlignment w:val="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t>……</w:t>
            </w:r>
          </w:p>
        </w:tc>
        <w:tc>
          <w:tcPr>
            <w:tcW w:w="208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pacing w:line="360" w:lineRule="auto"/>
              <w:textAlignment w:val="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202</w:t>
            </w:r>
            <w:r>
              <w:rPr>
                <w:rFonts w:hint="eastAsia"/>
                <w:lang w:val="en-US" w:eastAsia="zh-CN"/>
              </w:rPr>
              <w:t>6.1</w:t>
            </w:r>
            <w:r>
              <w:rPr>
                <w:rFonts w:hint="eastAsia"/>
              </w:rPr>
              <w:t>-20</w:t>
            </w:r>
            <w:r>
              <w:rPr>
                <w:rFonts w:hint="eastAsia"/>
                <w:lang w:val="en-US" w:eastAsia="zh-CN"/>
              </w:rPr>
              <w:t>26</w:t>
            </w:r>
            <w:bookmarkStart w:id="1" w:name="_GoBack"/>
            <w:bookmarkEnd w:id="1"/>
            <w:r>
              <w:rPr>
                <w:rFonts w:hint="eastAsia"/>
              </w:rPr>
              <w:t>.</w:t>
            </w:r>
            <w:r>
              <w:rPr>
                <w:rFonts w:hint="eastAsia"/>
                <w:lang w:val="en-US" w:eastAsia="zh-CN"/>
              </w:rPr>
              <w:t>12</w:t>
            </w: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1</w:t>
            </w:r>
          </w:p>
        </w:tc>
        <w:tc>
          <w:tcPr>
            <w:tcW w:w="208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2</w:t>
            </w:r>
          </w:p>
        </w:tc>
        <w:tc>
          <w:tcPr>
            <w:tcW w:w="208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3</w:t>
            </w:r>
          </w:p>
        </w:tc>
        <w:tc>
          <w:tcPr>
            <w:tcW w:w="208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t>……</w:t>
            </w:r>
          </w:p>
        </w:tc>
        <w:tc>
          <w:tcPr>
            <w:tcW w:w="208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snapToGrid w:val="0"/>
              <w:spacing w:line="360" w:lineRule="auto"/>
              <w:textAlignment w:val="auto"/>
            </w:pPr>
          </w:p>
        </w:tc>
      </w:tr>
    </w:tbl>
    <w:p>
      <w:pPr>
        <w:keepNext w:val="0"/>
        <w:keepLines w:val="0"/>
        <w:pageBreakBefore w:val="0"/>
        <w:kinsoku/>
        <w:wordWrap/>
        <w:overflowPunct/>
        <w:topLinePunct w:val="0"/>
        <w:autoSpaceDE/>
        <w:autoSpaceDN/>
        <w:bidi w:val="0"/>
        <w:snapToGrid w:val="0"/>
        <w:spacing w:line="360" w:lineRule="auto"/>
        <w:ind w:left="-1680" w:leftChars="-800" w:firstLine="560" w:firstLineChars="200"/>
        <w:textAlignment w:val="auto"/>
        <w:rPr>
          <w:sz w:val="28"/>
        </w:rPr>
      </w:pPr>
      <w:r>
        <w:rPr>
          <w:rFonts w:ascii="楷体_GB2312" w:hAnsi="宋体" w:eastAsia="楷体_GB2312"/>
          <w:sz w:val="28"/>
        </w:rPr>
        <w:t xml:space="preserve">*  </w:t>
      </w:r>
      <w:r>
        <w:rPr>
          <w:rFonts w:hint="eastAsia" w:ascii="楷体_GB2312" w:hAnsi="宋体" w:eastAsia="楷体_GB2312"/>
          <w:sz w:val="28"/>
        </w:rPr>
        <w:t>除备注外的各栏目应全部填报。</w:t>
      </w:r>
    </w:p>
    <w:p>
      <w:pPr>
        <w:keepNext w:val="0"/>
        <w:keepLines w:val="0"/>
        <w:pageBreakBefore w:val="0"/>
        <w:kinsoku/>
        <w:wordWrap/>
        <w:overflowPunct/>
        <w:topLinePunct w:val="0"/>
        <w:autoSpaceDE/>
        <w:autoSpaceDN/>
        <w:bidi w:val="0"/>
        <w:spacing w:line="360" w:lineRule="auto"/>
        <w:textAlignment w:val="auto"/>
        <w:rPr>
          <w:rFonts w:ascii="黑体" w:eastAsia="黑体"/>
          <w:bCs/>
        </w:rPr>
        <w:sectPr>
          <w:pgSz w:w="16840" w:h="11907" w:orient="landscape"/>
          <w:pgMar w:top="1701" w:right="851" w:bottom="1701" w:left="2155" w:header="680" w:footer="1418" w:gutter="113"/>
          <w:pgNumType w:fmt="numberInDash"/>
          <w:cols w:space="425" w:num="1"/>
          <w:docGrid w:linePitch="285" w:charSpace="0"/>
        </w:sectPr>
      </w:pPr>
    </w:p>
    <w:tbl>
      <w:tblPr>
        <w:tblStyle w:val="10"/>
        <w:tblW w:w="7740" w:type="dxa"/>
        <w:tblInd w:w="88" w:type="dxa"/>
        <w:tblLayout w:type="autofit"/>
        <w:tblCellMar>
          <w:top w:w="0" w:type="dxa"/>
          <w:left w:w="108" w:type="dxa"/>
          <w:bottom w:w="0" w:type="dxa"/>
          <w:right w:w="108" w:type="dxa"/>
        </w:tblCellMar>
      </w:tblPr>
      <w:tblGrid>
        <w:gridCol w:w="820"/>
        <w:gridCol w:w="3880"/>
        <w:gridCol w:w="1800"/>
        <w:gridCol w:w="1240"/>
      </w:tblGrid>
      <w:tr>
        <w:tblPrEx>
          <w:tblCellMar>
            <w:top w:w="0" w:type="dxa"/>
            <w:left w:w="108" w:type="dxa"/>
            <w:bottom w:w="0" w:type="dxa"/>
            <w:right w:w="108" w:type="dxa"/>
          </w:tblCellMar>
        </w:tblPrEx>
        <w:trPr>
          <w:trHeight w:val="660" w:hRule="atLeast"/>
        </w:trPr>
        <w:tc>
          <w:tcPr>
            <w:tcW w:w="7740"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黑体" w:hAnsi="Arial" w:eastAsia="黑体" w:cs="Arial"/>
                <w:b/>
                <w:bCs/>
                <w:kern w:val="0"/>
                <w:sz w:val="32"/>
                <w:szCs w:val="32"/>
              </w:rPr>
            </w:pPr>
            <w:r>
              <w:rPr>
                <w:rFonts w:hint="eastAsia" w:ascii="黑体" w:hAnsi="Arial" w:eastAsia="黑体" w:cs="Arial"/>
                <w:b/>
                <w:bCs/>
                <w:kern w:val="0"/>
                <w:sz w:val="32"/>
                <w:szCs w:val="32"/>
              </w:rPr>
              <w:t xml:space="preserve">七  项目经费预算  </w:t>
            </w:r>
            <w:r>
              <w:rPr>
                <w:sz w:val="28"/>
              </w:rPr>
              <w:t>受托方(</w:t>
            </w:r>
            <w:r>
              <w:rPr>
                <w:rFonts w:hint="eastAsia"/>
                <w:sz w:val="28"/>
              </w:rPr>
              <w:t>一</w:t>
            </w:r>
            <w:r>
              <w:rPr>
                <w:sz w:val="28"/>
              </w:rPr>
              <w:t>)：</w:t>
            </w:r>
            <w:r>
              <w:rPr>
                <w:rFonts w:hint="eastAsia"/>
                <w:sz w:val="28"/>
              </w:rPr>
              <w:t xml:space="preserve"> </w:t>
            </w:r>
          </w:p>
        </w:tc>
      </w:tr>
      <w:tr>
        <w:tblPrEx>
          <w:tblCellMar>
            <w:top w:w="0" w:type="dxa"/>
            <w:left w:w="108" w:type="dxa"/>
            <w:bottom w:w="0" w:type="dxa"/>
            <w:right w:w="108" w:type="dxa"/>
          </w:tblCellMar>
        </w:tblPrEx>
        <w:trPr>
          <w:trHeight w:val="660" w:hRule="atLeast"/>
        </w:trPr>
        <w:tc>
          <w:tcPr>
            <w:tcW w:w="7740"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8"/>
                <w:szCs w:val="28"/>
              </w:rPr>
            </w:pPr>
            <w:r>
              <w:rPr>
                <w:rFonts w:hint="eastAsia" w:ascii="宋体" w:hAnsi="宋体" w:cs="Arial"/>
                <w:b/>
                <w:bCs/>
                <w:kern w:val="0"/>
                <w:sz w:val="28"/>
                <w:szCs w:val="28"/>
              </w:rPr>
              <w:t>表1 项目经费预算表</w:t>
            </w:r>
          </w:p>
        </w:tc>
      </w:tr>
      <w:tr>
        <w:tblPrEx>
          <w:tblCellMar>
            <w:top w:w="0" w:type="dxa"/>
            <w:left w:w="108" w:type="dxa"/>
            <w:bottom w:w="0" w:type="dxa"/>
            <w:right w:w="108" w:type="dxa"/>
          </w:tblCellMar>
        </w:tblPrEx>
        <w:trPr>
          <w:trHeight w:val="315" w:hRule="atLeast"/>
        </w:trPr>
        <w:tc>
          <w:tcPr>
            <w:tcW w:w="7740"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right"/>
              <w:textAlignment w:val="auto"/>
              <w:rPr>
                <w:rFonts w:ascii="宋体" w:hAnsi="宋体" w:cs="Arial"/>
                <w:b/>
                <w:bCs/>
                <w:kern w:val="0"/>
                <w:sz w:val="24"/>
              </w:rPr>
            </w:pPr>
            <w:r>
              <w:rPr>
                <w:rFonts w:hint="eastAsia" w:ascii="宋体" w:hAnsi="宋体" w:cs="Arial"/>
                <w:b/>
                <w:bCs/>
                <w:kern w:val="0"/>
                <w:sz w:val="24"/>
              </w:rPr>
              <w:t>单位:万元</w:t>
            </w:r>
          </w:p>
        </w:tc>
      </w:tr>
      <w:tr>
        <w:tblPrEx>
          <w:tblCellMar>
            <w:top w:w="0" w:type="dxa"/>
            <w:left w:w="108" w:type="dxa"/>
            <w:bottom w:w="0" w:type="dxa"/>
            <w:right w:w="108" w:type="dxa"/>
          </w:tblCellMar>
        </w:tblPrEx>
        <w:trPr>
          <w:trHeight w:val="63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支出类别</w:t>
            </w:r>
          </w:p>
        </w:tc>
        <w:tc>
          <w:tcPr>
            <w:tcW w:w="38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科目</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预算金额</w:t>
            </w:r>
          </w:p>
        </w:tc>
        <w:tc>
          <w:tcPr>
            <w:tcW w:w="12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备注</w:t>
            </w:r>
          </w:p>
        </w:tc>
      </w:tr>
      <w:tr>
        <w:tblPrEx>
          <w:tblCellMar>
            <w:top w:w="0" w:type="dxa"/>
            <w:left w:w="108" w:type="dxa"/>
            <w:bottom w:w="0" w:type="dxa"/>
            <w:right w:w="108" w:type="dxa"/>
          </w:tblCellMar>
        </w:tblPrEx>
        <w:trPr>
          <w:trHeight w:val="315" w:hRule="atLeast"/>
        </w:trPr>
        <w:tc>
          <w:tcPr>
            <w:tcW w:w="82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费</w:t>
            </w:r>
          </w:p>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用</w:t>
            </w:r>
          </w:p>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性</w:t>
            </w:r>
          </w:p>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支</w:t>
            </w:r>
          </w:p>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出</w:t>
            </w:r>
          </w:p>
        </w:tc>
        <w:tc>
          <w:tcPr>
            <w:tcW w:w="3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材料</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textAlignment w:val="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分析计量测试费</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textAlignment w:val="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差旅费</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textAlignment w:val="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其他费用</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textAlignment w:val="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912" w:hRule="atLeast"/>
        </w:trPr>
        <w:tc>
          <w:tcPr>
            <w:tcW w:w="47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合计</w:t>
            </w:r>
          </w:p>
        </w:tc>
        <w:tc>
          <w:tcPr>
            <w:tcW w:w="18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kern w:val="0"/>
                <w:sz w:val="20"/>
                <w:szCs w:val="20"/>
              </w:rPr>
            </w:pPr>
            <w:r>
              <w:rPr>
                <w:rFonts w:ascii="Arial" w:hAnsi="Arial" w:cs="Arial"/>
                <w:kern w:val="0"/>
                <w:sz w:val="20"/>
                <w:szCs w:val="20"/>
              </w:rPr>
              <w:t>　</w:t>
            </w:r>
          </w:p>
        </w:tc>
      </w:tr>
    </w:tbl>
    <w:p>
      <w:pPr>
        <w:keepNext w:val="0"/>
        <w:keepLines w:val="0"/>
        <w:pageBreakBefore w:val="0"/>
        <w:kinsoku/>
        <w:wordWrap/>
        <w:overflowPunct/>
        <w:topLinePunct w:val="0"/>
        <w:autoSpaceDE/>
        <w:autoSpaceDN/>
        <w:bidi w:val="0"/>
        <w:spacing w:line="360" w:lineRule="auto"/>
        <w:jc w:val="center"/>
        <w:textAlignment w:val="auto"/>
        <w:rPr>
          <w:rFonts w:ascii="宋体" w:hAnsi="宋体"/>
          <w:bCs/>
          <w:sz w:val="28"/>
        </w:rPr>
      </w:pPr>
      <w:r>
        <w:rPr>
          <w:rFonts w:ascii="宋体" w:hAnsi="宋体"/>
          <w:bCs/>
        </w:rPr>
        <w:br w:type="page"/>
      </w:r>
      <w:r>
        <w:rPr>
          <w:rFonts w:hint="eastAsia" w:ascii="宋体" w:hAnsi="宋体"/>
          <w:bCs/>
          <w:sz w:val="28"/>
        </w:rPr>
        <w:t>表</w:t>
      </w:r>
      <w:r>
        <w:rPr>
          <w:rFonts w:ascii="宋体" w:hAnsi="宋体"/>
          <w:bCs/>
          <w:sz w:val="28"/>
        </w:rPr>
        <w:t>2</w:t>
      </w:r>
      <w:r>
        <w:rPr>
          <w:rFonts w:hint="eastAsia" w:ascii="宋体" w:hAnsi="宋体"/>
          <w:bCs/>
          <w:sz w:val="28"/>
        </w:rPr>
        <w:t xml:space="preserve">  预计经费来源表</w:t>
      </w:r>
    </w:p>
    <w:p>
      <w:pPr>
        <w:keepNext w:val="0"/>
        <w:keepLines w:val="0"/>
        <w:pageBreakBefore w:val="0"/>
        <w:kinsoku/>
        <w:wordWrap/>
        <w:overflowPunct/>
        <w:topLinePunct w:val="0"/>
        <w:autoSpaceDE/>
        <w:autoSpaceDN/>
        <w:bidi w:val="0"/>
        <w:spacing w:line="360" w:lineRule="auto"/>
        <w:ind w:firstLine="7000" w:firstLineChars="2500"/>
        <w:textAlignment w:val="auto"/>
        <w:rPr>
          <w:sz w:val="28"/>
        </w:rPr>
      </w:pPr>
      <w:r>
        <w:rPr>
          <w:rFonts w:hint="eastAsia"/>
          <w:sz w:val="28"/>
        </w:rPr>
        <w:t>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349"/>
        <w:gridCol w:w="1207"/>
        <w:gridCol w:w="1208"/>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jc w:val="center"/>
              <w:textAlignment w:val="auto"/>
            </w:pPr>
            <w:r>
              <w:rPr>
                <w:rFonts w:hint="eastAsia"/>
                <w:sz w:val="28"/>
              </w:rPr>
              <w:t>来</w:t>
            </w:r>
            <w:r>
              <w:rPr>
                <w:sz w:val="28"/>
              </w:rPr>
              <w:t xml:space="preserve">  </w:t>
            </w:r>
            <w:r>
              <w:rPr>
                <w:rFonts w:hint="eastAsia"/>
                <w:sz w:val="28"/>
              </w:rPr>
              <w:t>源</w:t>
            </w:r>
          </w:p>
        </w:tc>
        <w:tc>
          <w:tcPr>
            <w:tcW w:w="23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ind w:firstLine="560"/>
              <w:jc w:val="center"/>
              <w:textAlignment w:val="auto"/>
              <w:rPr>
                <w:rFonts w:ascii="仿宋_GB2312" w:eastAsia="仿宋_GB2312"/>
                <w:bCs/>
                <w:sz w:val="30"/>
              </w:rPr>
            </w:pPr>
            <w:r>
              <w:rPr>
                <w:rFonts w:hint="eastAsia"/>
                <w:sz w:val="28"/>
              </w:rPr>
              <w:t>委托方支付</w:t>
            </w:r>
          </w:p>
        </w:tc>
        <w:tc>
          <w:tcPr>
            <w:tcW w:w="24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ind w:firstLine="560"/>
              <w:jc w:val="center"/>
              <w:textAlignment w:val="auto"/>
              <w:rPr>
                <w:rFonts w:ascii="仿宋_GB2312" w:eastAsia="仿宋_GB2312"/>
                <w:bCs/>
                <w:sz w:val="28"/>
              </w:rPr>
            </w:pPr>
            <w:r>
              <w:rPr>
                <w:rFonts w:hint="eastAsia"/>
                <w:sz w:val="28"/>
              </w:rPr>
              <w:t>其</w:t>
            </w:r>
            <w:r>
              <w:rPr>
                <w:sz w:val="28"/>
              </w:rPr>
              <w:t xml:space="preserve">  </w:t>
            </w:r>
            <w:r>
              <w:rPr>
                <w:rFonts w:hint="eastAsia"/>
                <w:sz w:val="28"/>
              </w:rPr>
              <w:t>它</w:t>
            </w:r>
            <w:r>
              <w:rPr>
                <w:sz w:val="28"/>
              </w:rPr>
              <w:t>*</w:t>
            </w:r>
          </w:p>
        </w:tc>
        <w:tc>
          <w:tcPr>
            <w:tcW w:w="22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ind w:firstLine="560"/>
              <w:jc w:val="center"/>
              <w:textAlignment w:val="auto"/>
              <w:rPr>
                <w:rFonts w:ascii="仿宋_GB2312" w:eastAsia="仿宋_GB2312"/>
                <w:bCs/>
                <w:sz w:val="28"/>
              </w:rPr>
            </w:pPr>
            <w:r>
              <w:rPr>
                <w:rFonts w:hint="eastAsia"/>
                <w:sz w:val="28"/>
              </w:rPr>
              <w:t>合</w:t>
            </w:r>
            <w:r>
              <w:rPr>
                <w:sz w:val="28"/>
              </w:rPr>
              <w:t xml:space="preserve">  </w:t>
            </w:r>
            <w:r>
              <w:rPr>
                <w:rFonts w:hint="eastAsia"/>
                <w:sz w:val="2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pP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jc w:val="center"/>
              <w:textAlignment w:val="auto"/>
              <w:rPr>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jc w:val="center"/>
              <w:textAlignment w:val="auto"/>
              <w:rPr>
                <w:sz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jc w:val="center"/>
              <w:textAlignment w:val="auto"/>
            </w:pPr>
            <w:r>
              <w:rPr>
                <w:rFonts w:hint="eastAsia"/>
                <w:sz w:val="28"/>
              </w:rPr>
              <w:t>金</w:t>
            </w:r>
            <w:r>
              <w:rPr>
                <w:sz w:val="28"/>
              </w:rPr>
              <w:t xml:space="preserve">  </w:t>
            </w:r>
            <w:r>
              <w:rPr>
                <w:rFonts w:hint="eastAsia"/>
                <w:sz w:val="28"/>
              </w:rPr>
              <w:t>额</w:t>
            </w:r>
          </w:p>
        </w:tc>
        <w:tc>
          <w:tcPr>
            <w:tcW w:w="2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jc w:val="center"/>
              <w:textAlignment w:val="auto"/>
            </w:pP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jc w:val="center"/>
              <w:textAlignment w:val="auto"/>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jc w:val="center"/>
              <w:textAlignment w:val="auto"/>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Lines="30" w:line="360" w:lineRule="auto"/>
              <w:jc w:val="center"/>
              <w:textAlignment w:val="auto"/>
            </w:pPr>
          </w:p>
        </w:tc>
      </w:tr>
    </w:tbl>
    <w:p>
      <w:pPr>
        <w:keepNext w:val="0"/>
        <w:keepLines w:val="0"/>
        <w:pageBreakBefore w:val="0"/>
        <w:kinsoku/>
        <w:wordWrap/>
        <w:overflowPunct/>
        <w:topLinePunct w:val="0"/>
        <w:autoSpaceDE/>
        <w:autoSpaceDN/>
        <w:bidi w:val="0"/>
        <w:snapToGrid w:val="0"/>
        <w:spacing w:beforeLines="50" w:line="360" w:lineRule="auto"/>
        <w:textAlignment w:val="auto"/>
        <w:rPr>
          <w:b/>
          <w:i/>
          <w:sz w:val="24"/>
        </w:rPr>
      </w:pPr>
      <w:r>
        <w:rPr>
          <w:rFonts w:hint="eastAsia"/>
          <w:sz w:val="28"/>
        </w:rPr>
        <w:t>*</w:t>
      </w:r>
      <w:r>
        <w:rPr>
          <w:rFonts w:hint="eastAsia"/>
          <w:sz w:val="24"/>
        </w:rPr>
        <w:t>：其它是指国家（国家重点研发计划、国家自然科学基金等）支持的与本项目有关的经费以及项目负责单位自筹部分的经费。</w:t>
      </w:r>
    </w:p>
    <w:p>
      <w:pPr>
        <w:keepNext w:val="0"/>
        <w:keepLines w:val="0"/>
        <w:pageBreakBefore w:val="0"/>
        <w:kinsoku/>
        <w:wordWrap/>
        <w:overflowPunct/>
        <w:topLinePunct w:val="0"/>
        <w:autoSpaceDE/>
        <w:autoSpaceDN/>
        <w:bidi w:val="0"/>
        <w:spacing w:line="360" w:lineRule="auto"/>
        <w:jc w:val="left"/>
        <w:textAlignment w:val="auto"/>
        <w:rPr>
          <w:rFonts w:eastAsia="黑体"/>
          <w:bCs/>
        </w:rPr>
      </w:pPr>
    </w:p>
    <w:p>
      <w:pPr>
        <w:keepNext w:val="0"/>
        <w:keepLines w:val="0"/>
        <w:pageBreakBefore w:val="0"/>
        <w:kinsoku/>
        <w:wordWrap/>
        <w:overflowPunct/>
        <w:topLinePunct w:val="0"/>
        <w:autoSpaceDE/>
        <w:autoSpaceDN/>
        <w:bidi w:val="0"/>
        <w:spacing w:line="360" w:lineRule="auto"/>
        <w:jc w:val="left"/>
        <w:textAlignment w:val="auto"/>
        <w:rPr>
          <w:rFonts w:eastAsia="黑体"/>
          <w:bCs/>
          <w:sz w:val="28"/>
        </w:rPr>
      </w:pPr>
      <w:r>
        <w:rPr>
          <w:rFonts w:hint="eastAsia" w:eastAsia="黑体"/>
          <w:bCs/>
          <w:sz w:val="28"/>
        </w:rPr>
        <w:t>八、经费使用计划</w:t>
      </w:r>
    </w:p>
    <w:p>
      <w:pPr>
        <w:keepNext w:val="0"/>
        <w:keepLines w:val="0"/>
        <w:pageBreakBefore w:val="0"/>
        <w:kinsoku/>
        <w:wordWrap/>
        <w:overflowPunct/>
        <w:topLinePunct w:val="0"/>
        <w:autoSpaceDE/>
        <w:autoSpaceDN/>
        <w:bidi w:val="0"/>
        <w:spacing w:line="360" w:lineRule="auto"/>
        <w:ind w:right="-655" w:firstLine="2800" w:firstLineChars="1000"/>
        <w:textAlignment w:val="auto"/>
        <w:rPr>
          <w:b/>
          <w:sz w:val="28"/>
        </w:rPr>
      </w:pPr>
      <w:r>
        <w:rPr>
          <w:rFonts w:hint="eastAsia"/>
          <w:sz w:val="28"/>
        </w:rPr>
        <w:t>申请委托方拨款计划表</w:t>
      </w:r>
    </w:p>
    <w:p>
      <w:pPr>
        <w:keepNext w:val="0"/>
        <w:keepLines w:val="0"/>
        <w:pageBreakBefore w:val="0"/>
        <w:kinsoku/>
        <w:wordWrap/>
        <w:overflowPunct/>
        <w:topLinePunct w:val="0"/>
        <w:autoSpaceDE/>
        <w:autoSpaceDN/>
        <w:bidi w:val="0"/>
        <w:spacing w:line="360" w:lineRule="auto"/>
        <w:jc w:val="right"/>
        <w:textAlignment w:val="auto"/>
        <w:rPr>
          <w:b/>
          <w:sz w:val="28"/>
        </w:rPr>
      </w:pPr>
      <w:r>
        <w:rPr>
          <w:rFonts w:hint="eastAsia" w:ascii="宋体" w:hAnsi="宋体"/>
        </w:rPr>
        <w:t xml:space="preserve">                                                           </w:t>
      </w:r>
      <w:r>
        <w:rPr>
          <w:rFonts w:hint="eastAsia"/>
        </w:rPr>
        <w:t xml:space="preserve">  </w:t>
      </w:r>
      <w:r>
        <w:rPr>
          <w:rFonts w:hint="eastAsia"/>
          <w:sz w:val="28"/>
        </w:rPr>
        <w:t>单位：万元</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2653"/>
        <w:gridCol w:w="2007"/>
        <w:gridCol w:w="2007"/>
        <w:gridCol w:w="20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单</w:t>
            </w:r>
            <w:r>
              <w:rPr>
                <w:sz w:val="28"/>
              </w:rPr>
              <w:t xml:space="preserve">  </w:t>
            </w:r>
            <w:r>
              <w:rPr>
                <w:rFonts w:hint="eastAsia"/>
                <w:sz w:val="28"/>
              </w:rPr>
              <w:t>位</w:t>
            </w:r>
            <w:r>
              <w:rPr>
                <w:sz w:val="28"/>
              </w:rPr>
              <w:t xml:space="preserve">  </w:t>
            </w:r>
            <w:r>
              <w:rPr>
                <w:rFonts w:hint="eastAsia"/>
                <w:sz w:val="28"/>
              </w:rPr>
              <w:t>名</w:t>
            </w:r>
            <w:r>
              <w:rPr>
                <w:sz w:val="28"/>
              </w:rPr>
              <w:t xml:space="preserve">  </w:t>
            </w:r>
            <w:r>
              <w:rPr>
                <w:rFonts w:hint="eastAsia"/>
                <w:sz w:val="28"/>
              </w:rPr>
              <w:t>称</w:t>
            </w:r>
          </w:p>
        </w:tc>
        <w:tc>
          <w:tcPr>
            <w:tcW w:w="2007" w:type="dxa"/>
            <w:vAlign w:val="center"/>
          </w:tcPr>
          <w:p>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用款总额</w:t>
            </w:r>
          </w:p>
        </w:tc>
        <w:tc>
          <w:tcPr>
            <w:tcW w:w="2007" w:type="dxa"/>
            <w:vAlign w:val="center"/>
          </w:tcPr>
          <w:p>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第1年</w:t>
            </w:r>
          </w:p>
        </w:tc>
        <w:tc>
          <w:tcPr>
            <w:tcW w:w="2008" w:type="dxa"/>
            <w:vAlign w:val="center"/>
          </w:tcPr>
          <w:p>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第2年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pPr>
              <w:keepNext w:val="0"/>
              <w:keepLines w:val="0"/>
              <w:pageBreakBefore w:val="0"/>
              <w:kinsoku/>
              <w:wordWrap/>
              <w:overflowPunct/>
              <w:topLinePunct w:val="0"/>
              <w:autoSpaceDE/>
              <w:autoSpaceDN/>
              <w:bidi w:val="0"/>
              <w:spacing w:line="360" w:lineRule="auto"/>
              <w:textAlignment w:val="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合</w:t>
            </w:r>
            <w:r>
              <w:rPr>
                <w:sz w:val="28"/>
              </w:rPr>
              <w:t xml:space="preserve">    </w:t>
            </w:r>
            <w:r>
              <w:rPr>
                <w:rFonts w:hint="eastAsia"/>
                <w:sz w:val="28"/>
              </w:rPr>
              <w:t>计</w:t>
            </w:r>
            <w:r>
              <w:rPr>
                <w:sz w:val="28"/>
              </w:rPr>
              <w:t xml:space="preserve"> </w:t>
            </w:r>
          </w:p>
        </w:tc>
        <w:tc>
          <w:tcPr>
            <w:tcW w:w="2007" w:type="dxa"/>
            <w:vAlign w:val="center"/>
          </w:tcPr>
          <w:p>
            <w:pPr>
              <w:keepNext w:val="0"/>
              <w:keepLines w:val="0"/>
              <w:pageBreakBefore w:val="0"/>
              <w:kinsoku/>
              <w:wordWrap/>
              <w:overflowPunct/>
              <w:topLinePunct w:val="0"/>
              <w:autoSpaceDE/>
              <w:autoSpaceDN/>
              <w:bidi w:val="0"/>
              <w:spacing w:line="360" w:lineRule="auto"/>
              <w:textAlignment w:val="auto"/>
            </w:pPr>
          </w:p>
        </w:tc>
        <w:tc>
          <w:tcPr>
            <w:tcW w:w="2007" w:type="dxa"/>
            <w:vAlign w:val="center"/>
          </w:tcPr>
          <w:p>
            <w:pPr>
              <w:keepNext w:val="0"/>
              <w:keepLines w:val="0"/>
              <w:pageBreakBefore w:val="0"/>
              <w:kinsoku/>
              <w:wordWrap/>
              <w:overflowPunct/>
              <w:topLinePunct w:val="0"/>
              <w:autoSpaceDE/>
              <w:autoSpaceDN/>
              <w:bidi w:val="0"/>
              <w:spacing w:line="360" w:lineRule="auto"/>
              <w:textAlignment w:val="auto"/>
            </w:pPr>
          </w:p>
        </w:tc>
        <w:tc>
          <w:tcPr>
            <w:tcW w:w="2008" w:type="dxa"/>
            <w:vAlign w:val="center"/>
          </w:tcPr>
          <w:p>
            <w:pPr>
              <w:keepNext w:val="0"/>
              <w:keepLines w:val="0"/>
              <w:pageBreakBefore w:val="0"/>
              <w:kinsoku/>
              <w:wordWrap/>
              <w:overflowPunct/>
              <w:topLinePunct w:val="0"/>
              <w:autoSpaceDE/>
              <w:autoSpaceDN/>
              <w:bidi w:val="0"/>
              <w:spacing w:line="360" w:lineRule="auto"/>
              <w:textAlignment w:val="auto"/>
            </w:pPr>
          </w:p>
        </w:tc>
      </w:tr>
    </w:tbl>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rFonts w:eastAsia="黑体"/>
          <w:bCs/>
          <w:sz w:val="28"/>
        </w:rPr>
      </w:pPr>
      <w:r>
        <w:rPr>
          <w:rFonts w:hint="eastAsia" w:eastAsia="黑体"/>
          <w:bCs/>
          <w:sz w:val="28"/>
        </w:rPr>
        <w:t>九、申请单位审查意见</w:t>
      </w:r>
    </w:p>
    <w:p>
      <w:pPr>
        <w:keepNext w:val="0"/>
        <w:keepLines w:val="0"/>
        <w:pageBreakBefore w:val="0"/>
        <w:kinsoku/>
        <w:wordWrap/>
        <w:overflowPunct/>
        <w:topLinePunct w:val="0"/>
        <w:autoSpaceDE/>
        <w:autoSpaceDN/>
        <w:bidi w:val="0"/>
        <w:spacing w:line="360" w:lineRule="auto"/>
        <w:textAlignment w:val="auto"/>
        <w:rPr>
          <w:sz w:val="28"/>
        </w:rPr>
      </w:pPr>
      <w:r>
        <w:rPr>
          <w:sz w:val="28"/>
        </w:rPr>
        <w:t xml:space="preserve">                   </w:t>
      </w:r>
    </w:p>
    <w:p>
      <w:pPr>
        <w:keepNext w:val="0"/>
        <w:keepLines w:val="0"/>
        <w:pageBreakBefore w:val="0"/>
        <w:tabs>
          <w:tab w:val="left" w:pos="2415"/>
        </w:tabs>
        <w:kinsoku/>
        <w:wordWrap/>
        <w:overflowPunct/>
        <w:topLinePunct w:val="0"/>
        <w:autoSpaceDE/>
        <w:autoSpaceDN/>
        <w:bidi w:val="0"/>
        <w:spacing w:line="360" w:lineRule="auto"/>
        <w:textAlignment w:val="auto"/>
        <w:rPr>
          <w:sz w:val="28"/>
        </w:rPr>
      </w:pPr>
      <w:r>
        <w:rPr>
          <w:sz w:val="28"/>
        </w:rPr>
        <w:t xml:space="preserve">                      </w:t>
      </w:r>
      <w:r>
        <w:rPr>
          <w:rFonts w:hint="eastAsia"/>
          <w:sz w:val="28"/>
        </w:rPr>
        <w:t>申请单位科技处处长</w:t>
      </w:r>
    </w:p>
    <w:p>
      <w:pPr>
        <w:keepNext w:val="0"/>
        <w:keepLines w:val="0"/>
        <w:pageBreakBefore w:val="0"/>
        <w:kinsoku/>
        <w:wordWrap/>
        <w:overflowPunct/>
        <w:topLinePunct w:val="0"/>
        <w:autoSpaceDE/>
        <w:autoSpaceDN/>
        <w:bidi w:val="0"/>
        <w:spacing w:line="360" w:lineRule="auto"/>
        <w:ind w:firstLine="5040" w:firstLineChars="1800"/>
        <w:textAlignment w:val="auto"/>
        <w:rPr>
          <w:sz w:val="28"/>
        </w:rPr>
      </w:pPr>
      <w:r>
        <w:rPr>
          <w:rFonts w:hint="eastAsia"/>
          <w:sz w:val="28"/>
        </w:rPr>
        <w:t>（签字）</w:t>
      </w:r>
    </w:p>
    <w:p>
      <w:pPr>
        <w:keepNext w:val="0"/>
        <w:keepLines w:val="0"/>
        <w:pageBreakBefore w:val="0"/>
        <w:kinsoku/>
        <w:wordWrap/>
        <w:overflowPunct/>
        <w:topLinePunct w:val="0"/>
        <w:autoSpaceDE/>
        <w:autoSpaceDN/>
        <w:bidi w:val="0"/>
        <w:spacing w:line="360" w:lineRule="auto"/>
        <w:ind w:left="4760" w:hanging="4760" w:hangingChars="1700"/>
        <w:textAlignment w:val="auto"/>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r>
        <w:rPr>
          <w:sz w:val="28"/>
        </w:rPr>
        <w:t xml:space="preserve">                      </w:t>
      </w:r>
      <w:r>
        <w:rPr>
          <w:rFonts w:hint="eastAsia"/>
          <w:sz w:val="28"/>
        </w:rPr>
        <w:t>申请单位科技负责人</w:t>
      </w:r>
    </w:p>
    <w:p>
      <w:pPr>
        <w:keepNext w:val="0"/>
        <w:keepLines w:val="0"/>
        <w:pageBreakBefore w:val="0"/>
        <w:kinsoku/>
        <w:wordWrap/>
        <w:overflowPunct/>
        <w:topLinePunct w:val="0"/>
        <w:autoSpaceDE/>
        <w:autoSpaceDN/>
        <w:bidi w:val="0"/>
        <w:spacing w:line="360" w:lineRule="auto"/>
        <w:ind w:firstLine="5040" w:firstLineChars="1800"/>
        <w:textAlignment w:val="auto"/>
        <w:rPr>
          <w:sz w:val="28"/>
        </w:rPr>
      </w:pPr>
      <w:r>
        <w:rPr>
          <w:rFonts w:ascii="宋体" w:hAnsi="宋体"/>
          <w:sz w:val="28"/>
        </w:rPr>
        <w:t>(</w:t>
      </w:r>
      <w:r>
        <w:rPr>
          <w:rFonts w:hint="eastAsia" w:ascii="宋体" w:hAnsi="宋体"/>
          <w:sz w:val="28"/>
        </w:rPr>
        <w:t>签字)</w:t>
      </w:r>
    </w:p>
    <w:p>
      <w:pPr>
        <w:keepNext w:val="0"/>
        <w:keepLines w:val="0"/>
        <w:pageBreakBefore w:val="0"/>
        <w:kinsoku/>
        <w:wordWrap/>
        <w:overflowPunct/>
        <w:topLinePunct w:val="0"/>
        <w:autoSpaceDE/>
        <w:autoSpaceDN/>
        <w:bidi w:val="0"/>
        <w:spacing w:line="360" w:lineRule="auto"/>
        <w:ind w:right="-1797"/>
        <w:textAlignment w:val="auto"/>
        <w:rPr>
          <w:sz w:val="28"/>
        </w:rPr>
      </w:pPr>
      <w:r>
        <w:rPr>
          <w:sz w:val="28"/>
        </w:rPr>
        <w:t xml:space="preserve">                                    </w:t>
      </w:r>
    </w:p>
    <w:p>
      <w:pPr>
        <w:keepNext w:val="0"/>
        <w:keepLines w:val="0"/>
        <w:pageBreakBefore w:val="0"/>
        <w:kinsoku/>
        <w:wordWrap/>
        <w:overflowPunct/>
        <w:topLinePunct w:val="0"/>
        <w:autoSpaceDE/>
        <w:autoSpaceDN/>
        <w:bidi w:val="0"/>
        <w:spacing w:line="360" w:lineRule="auto"/>
        <w:ind w:right="-1797"/>
        <w:textAlignment w:val="auto"/>
        <w:rPr>
          <w:sz w:val="28"/>
        </w:rPr>
      </w:pPr>
      <w:r>
        <w:rPr>
          <w:sz w:val="28"/>
        </w:rPr>
        <w:t xml:space="preserve">   </w:t>
      </w:r>
    </w:p>
    <w:p>
      <w:pPr>
        <w:keepNext w:val="0"/>
        <w:keepLines w:val="0"/>
        <w:pageBreakBefore w:val="0"/>
        <w:kinsoku/>
        <w:wordWrap/>
        <w:overflowPunct/>
        <w:topLinePunct w:val="0"/>
        <w:autoSpaceDE/>
        <w:autoSpaceDN/>
        <w:bidi w:val="0"/>
        <w:spacing w:line="360" w:lineRule="auto"/>
        <w:ind w:right="-1797"/>
        <w:textAlignment w:val="auto"/>
        <w:rPr>
          <w:rFonts w:ascii="宋体" w:hAnsi="宋体"/>
          <w:sz w:val="28"/>
        </w:rPr>
      </w:pPr>
    </w:p>
    <w:p>
      <w:pPr>
        <w:keepNext w:val="0"/>
        <w:keepLines w:val="0"/>
        <w:pageBreakBefore w:val="0"/>
        <w:kinsoku/>
        <w:wordWrap/>
        <w:overflowPunct/>
        <w:topLinePunct w:val="0"/>
        <w:autoSpaceDE/>
        <w:autoSpaceDN/>
        <w:bidi w:val="0"/>
        <w:spacing w:line="360" w:lineRule="auto"/>
        <w:ind w:right="-1797"/>
        <w:textAlignment w:val="auto"/>
        <w:rPr>
          <w:sz w:val="28"/>
        </w:rPr>
      </w:pPr>
      <w:r>
        <w:rPr>
          <w:sz w:val="28"/>
        </w:rPr>
        <w:t xml:space="preserve">                      </w:t>
      </w:r>
      <w:r>
        <w:rPr>
          <w:rFonts w:hint="eastAsia"/>
          <w:sz w:val="28"/>
        </w:rPr>
        <w:t xml:space="preserve">    申请单位盖章</w:t>
      </w: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ind w:firstLine="4620"/>
        <w:textAlignment w:val="auto"/>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keepNext w:val="0"/>
        <w:keepLines w:val="0"/>
        <w:pageBreakBefore w:val="0"/>
        <w:kinsoku/>
        <w:wordWrap/>
        <w:overflowPunct/>
        <w:topLinePunct w:val="0"/>
        <w:autoSpaceDE/>
        <w:autoSpaceDN/>
        <w:bidi w:val="0"/>
        <w:spacing w:line="360" w:lineRule="auto"/>
        <w:textAlignment w:val="auto"/>
        <w:rPr>
          <w:sz w:val="28"/>
        </w:rPr>
      </w:pPr>
    </w:p>
    <w:p>
      <w:pPr>
        <w:pStyle w:val="4"/>
        <w:keepNext w:val="0"/>
        <w:keepLines w:val="0"/>
        <w:pageBreakBefore w:val="0"/>
        <w:kinsoku/>
        <w:wordWrap/>
        <w:overflowPunct/>
        <w:topLinePunct w:val="0"/>
        <w:autoSpaceDE/>
        <w:autoSpaceDN/>
        <w:bidi w:val="0"/>
        <w:adjustRightInd w:val="0"/>
        <w:snapToGrid w:val="0"/>
        <w:spacing w:line="360" w:lineRule="auto"/>
        <w:textAlignment w:val="auto"/>
        <w:rPr>
          <w:rFonts w:ascii="黑体" w:hAnsi="Times New Roman" w:eastAsia="黑体"/>
          <w:b/>
          <w:snapToGrid w:val="0"/>
          <w:kern w:val="32"/>
          <w:sz w:val="32"/>
          <w:szCs w:val="32"/>
        </w:rPr>
      </w:pPr>
      <w:r>
        <w:rPr>
          <w:rFonts w:hint="eastAsia" w:ascii="黑体" w:hAnsi="Times New Roman" w:eastAsia="黑体"/>
          <w:b/>
          <w:snapToGrid w:val="0"/>
          <w:kern w:val="32"/>
          <w:sz w:val="32"/>
          <w:szCs w:val="32"/>
        </w:rPr>
        <w:t>附件：      关于项目经费预算表科目的定义</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黑体" w:eastAsia="黑体"/>
          <w:b/>
          <w:snapToGrid w:val="0"/>
          <w:kern w:val="3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黑体" w:hAnsi="宋体" w:eastAsia="黑体"/>
          <w:b/>
          <w:bCs/>
          <w:sz w:val="28"/>
          <w:szCs w:val="28"/>
        </w:rPr>
      </w:pPr>
      <w:r>
        <w:rPr>
          <w:rFonts w:hint="eastAsia" w:ascii="黑体" w:eastAsia="黑体"/>
          <w:b/>
          <w:snapToGrid w:val="0"/>
          <w:kern w:val="32"/>
          <w:sz w:val="32"/>
          <w:szCs w:val="32"/>
        </w:rPr>
        <w:t>费用性支出：</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b/>
          <w:bCs/>
          <w:sz w:val="28"/>
          <w:szCs w:val="28"/>
        </w:rPr>
      </w:pPr>
      <w:r>
        <w:rPr>
          <w:rFonts w:hint="eastAsia"/>
          <w:b/>
          <w:bCs/>
          <w:sz w:val="28"/>
          <w:szCs w:val="28"/>
        </w:rPr>
        <w:t>1</w:t>
      </w:r>
      <w:r>
        <w:rPr>
          <w:rFonts w:hAnsi="宋体"/>
          <w:b/>
          <w:bCs/>
          <w:sz w:val="28"/>
          <w:szCs w:val="28"/>
        </w:rPr>
        <w:t>、材料费：研发过程中消耗的直接材料、化学试剂等。</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b/>
          <w:bCs/>
          <w:sz w:val="28"/>
          <w:szCs w:val="28"/>
        </w:rPr>
      </w:pPr>
      <w:r>
        <w:rPr>
          <w:rFonts w:hint="eastAsia"/>
          <w:b/>
          <w:bCs/>
          <w:sz w:val="28"/>
          <w:szCs w:val="28"/>
        </w:rPr>
        <w:t>2</w:t>
      </w:r>
      <w:r>
        <w:rPr>
          <w:rFonts w:hAnsi="宋体"/>
          <w:b/>
          <w:bCs/>
          <w:sz w:val="28"/>
          <w:szCs w:val="28"/>
        </w:rPr>
        <w:t>、分析计量测试费：委托外部</w:t>
      </w:r>
      <w:bookmarkStart w:id="0" w:name="附则"/>
      <w:bookmarkEnd w:id="0"/>
      <w:r>
        <w:rPr>
          <w:rFonts w:hAnsi="宋体"/>
          <w:b/>
          <w:bCs/>
          <w:sz w:val="28"/>
          <w:szCs w:val="28"/>
        </w:rPr>
        <w:t>机构进行分析计量测试费用支出。</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b/>
          <w:bCs/>
          <w:sz w:val="28"/>
          <w:szCs w:val="28"/>
        </w:rPr>
      </w:pPr>
      <w:r>
        <w:rPr>
          <w:rFonts w:hint="eastAsia"/>
          <w:b/>
          <w:bCs/>
          <w:sz w:val="28"/>
          <w:szCs w:val="28"/>
        </w:rPr>
        <w:t>3</w:t>
      </w:r>
      <w:r>
        <w:rPr>
          <w:rFonts w:hAnsi="宋体"/>
          <w:b/>
          <w:bCs/>
          <w:sz w:val="28"/>
          <w:szCs w:val="28"/>
        </w:rPr>
        <w:t>、差旅费：职工因公外出发生的交通费、住宿费、出差补助等费用支出。</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宋体"/>
          <w:b/>
          <w:sz w:val="36"/>
        </w:rPr>
        <w:sectPr>
          <w:pgSz w:w="11906" w:h="16838"/>
          <w:pgMar w:top="1418" w:right="1247" w:bottom="1985" w:left="1701" w:header="851" w:footer="1701" w:gutter="0"/>
          <w:cols w:space="425" w:num="1"/>
          <w:docGrid w:type="lines" w:linePitch="312" w:charSpace="0"/>
        </w:sectPr>
      </w:pPr>
      <w:r>
        <w:rPr>
          <w:rFonts w:hint="eastAsia" w:hAnsi="宋体"/>
          <w:b/>
          <w:bCs/>
          <w:sz w:val="28"/>
          <w:szCs w:val="28"/>
        </w:rPr>
        <w:t>4</w:t>
      </w:r>
      <w:r>
        <w:rPr>
          <w:rFonts w:hAnsi="宋体"/>
          <w:b/>
          <w:bCs/>
          <w:sz w:val="28"/>
          <w:szCs w:val="28"/>
        </w:rPr>
        <w:t>、其他费用：除上述费用以外的其他费用化支出。</w:t>
      </w:r>
    </w:p>
    <w:p>
      <w:pPr>
        <w:keepNext w:val="0"/>
        <w:keepLines w:val="0"/>
        <w:pageBreakBefore w:val="0"/>
        <w:kinsoku/>
        <w:wordWrap/>
        <w:overflowPunct/>
        <w:topLinePunct w:val="0"/>
        <w:autoSpaceDE/>
        <w:autoSpaceDN/>
        <w:bidi w:val="0"/>
        <w:adjustRightInd w:val="0"/>
        <w:snapToGrid w:val="0"/>
        <w:spacing w:line="360" w:lineRule="auto"/>
        <w:ind w:firstLine="723" w:firstLineChars="200"/>
        <w:textAlignment w:val="auto"/>
        <w:rPr>
          <w:rFonts w:ascii="宋体"/>
          <w:b/>
          <w:sz w:val="36"/>
        </w:rPr>
        <w:sectPr>
          <w:footerReference r:id="rId7" w:type="default"/>
          <w:footerReference r:id="rId8" w:type="even"/>
          <w:pgSz w:w="11906" w:h="16838"/>
          <w:pgMar w:top="1418" w:right="1247" w:bottom="1985" w:left="1701" w:header="851" w:footer="1701"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360" w:lineRule="auto"/>
        <w:textAlignment w:val="auto"/>
        <w:rPr>
          <w:rFonts w:hAnsi="宋体"/>
          <w:b/>
          <w:bCs/>
          <w:sz w:val="28"/>
          <w:szCs w:val="28"/>
        </w:rPr>
      </w:pPr>
    </w:p>
    <w:p>
      <w:pPr>
        <w:keepNext w:val="0"/>
        <w:keepLines w:val="0"/>
        <w:pageBreakBefore w:val="0"/>
        <w:kinsoku/>
        <w:wordWrap/>
        <w:overflowPunct/>
        <w:topLinePunct w:val="0"/>
        <w:autoSpaceDE/>
        <w:autoSpaceDN/>
        <w:bidi w:val="0"/>
        <w:adjustRightInd w:val="0"/>
        <w:snapToGrid w:val="0"/>
        <w:spacing w:line="360" w:lineRule="auto"/>
        <w:ind w:firstLine="723" w:firstLineChars="200"/>
        <w:textAlignment w:val="auto"/>
        <w:rPr>
          <w:rFonts w:ascii="宋体"/>
          <w:b/>
          <w:sz w:val="36"/>
        </w:rPr>
      </w:pPr>
    </w:p>
    <w:p>
      <w:pPr>
        <w:keepNext w:val="0"/>
        <w:keepLines w:val="0"/>
        <w:pageBreakBefore w:val="0"/>
        <w:kinsoku/>
        <w:wordWrap/>
        <w:overflowPunct/>
        <w:topLinePunct w:val="0"/>
        <w:autoSpaceDE/>
        <w:autoSpaceDN/>
        <w:bidi w:val="0"/>
        <w:spacing w:line="360" w:lineRule="auto"/>
        <w:ind w:left="4250" w:firstLine="425"/>
        <w:textAlignment w:val="auto"/>
        <w:rPr>
          <w:rFonts w:ascii="宋体"/>
          <w:b/>
          <w:sz w:val="36"/>
        </w:rPr>
      </w:pPr>
      <w:r>
        <w:rPr>
          <w:rFonts w:hint="eastAsia" w:ascii="宋体"/>
          <w:b/>
          <w:sz w:val="36"/>
        </w:rPr>
        <w:t xml:space="preserve">           编号：</w:t>
      </w:r>
    </w:p>
    <w:p>
      <w:pPr>
        <w:keepNext w:val="0"/>
        <w:keepLines w:val="0"/>
        <w:pageBreakBefore w:val="0"/>
        <w:kinsoku/>
        <w:wordWrap/>
        <w:overflowPunct/>
        <w:topLinePunct w:val="0"/>
        <w:autoSpaceDE/>
        <w:autoSpaceDN/>
        <w:bidi w:val="0"/>
        <w:spacing w:line="360" w:lineRule="auto"/>
        <w:jc w:val="center"/>
        <w:textAlignment w:val="auto"/>
        <w:rPr>
          <w:rFonts w:ascii="宋体"/>
          <w:b/>
          <w:sz w:val="52"/>
        </w:rPr>
      </w:pPr>
    </w:p>
    <w:p>
      <w:pPr>
        <w:keepNext w:val="0"/>
        <w:keepLines w:val="0"/>
        <w:pageBreakBefore w:val="0"/>
        <w:kinsoku/>
        <w:wordWrap/>
        <w:overflowPunct/>
        <w:topLinePunct w:val="0"/>
        <w:autoSpaceDE/>
        <w:autoSpaceDN/>
        <w:bidi w:val="0"/>
        <w:spacing w:line="360" w:lineRule="auto"/>
        <w:jc w:val="center"/>
        <w:textAlignment w:val="auto"/>
        <w:rPr>
          <w:rFonts w:ascii="宋体"/>
          <w:b/>
          <w:sz w:val="52"/>
        </w:rPr>
      </w:pPr>
    </w:p>
    <w:p>
      <w:pPr>
        <w:keepNext w:val="0"/>
        <w:keepLines w:val="0"/>
        <w:pageBreakBefore w:val="0"/>
        <w:kinsoku/>
        <w:wordWrap/>
        <w:overflowPunct/>
        <w:topLinePunct w:val="0"/>
        <w:autoSpaceDE/>
        <w:autoSpaceDN/>
        <w:bidi w:val="0"/>
        <w:spacing w:line="360" w:lineRule="auto"/>
        <w:jc w:val="center"/>
        <w:textAlignment w:val="auto"/>
        <w:rPr>
          <w:rFonts w:ascii="宋体"/>
          <w:b/>
          <w:sz w:val="36"/>
          <w:szCs w:val="36"/>
        </w:rPr>
      </w:pPr>
      <w:r>
        <w:rPr>
          <w:rFonts w:ascii="宋体"/>
          <w:b/>
          <w:sz w:val="36"/>
          <w:szCs w:val="36"/>
        </w:rPr>
        <w:t>石油化工</w:t>
      </w:r>
      <w:r>
        <w:rPr>
          <w:rFonts w:hint="eastAsia" w:ascii="宋体"/>
          <w:b/>
          <w:sz w:val="36"/>
          <w:szCs w:val="36"/>
          <w:lang w:eastAsia="zh-CN"/>
        </w:rPr>
        <w:t>分子转化</w:t>
      </w:r>
      <w:r>
        <w:rPr>
          <w:rFonts w:ascii="宋体"/>
          <w:b/>
          <w:sz w:val="36"/>
          <w:szCs w:val="36"/>
        </w:rPr>
        <w:t>与反应工程</w:t>
      </w:r>
      <w:r>
        <w:rPr>
          <w:rFonts w:hint="eastAsia" w:ascii="宋体"/>
          <w:b/>
          <w:sz w:val="36"/>
          <w:szCs w:val="36"/>
          <w:lang w:eastAsia="zh-CN"/>
        </w:rPr>
        <w:t>全国</w:t>
      </w:r>
      <w:r>
        <w:rPr>
          <w:rFonts w:ascii="宋体"/>
          <w:b/>
          <w:sz w:val="36"/>
          <w:szCs w:val="36"/>
        </w:rPr>
        <w:t>重点实验室</w:t>
      </w:r>
    </w:p>
    <w:p>
      <w:pPr>
        <w:keepNext w:val="0"/>
        <w:keepLines w:val="0"/>
        <w:pageBreakBefore w:val="0"/>
        <w:kinsoku/>
        <w:wordWrap/>
        <w:overflowPunct/>
        <w:topLinePunct w:val="0"/>
        <w:autoSpaceDE/>
        <w:autoSpaceDN/>
        <w:bidi w:val="0"/>
        <w:spacing w:line="360" w:lineRule="auto"/>
        <w:jc w:val="center"/>
        <w:textAlignment w:val="auto"/>
        <w:rPr>
          <w:rFonts w:ascii="宋体"/>
          <w:b/>
          <w:sz w:val="52"/>
        </w:rPr>
      </w:pPr>
      <w:r>
        <w:rPr>
          <w:rFonts w:hint="eastAsia" w:ascii="宋体"/>
          <w:b/>
          <w:sz w:val="52"/>
        </w:rPr>
        <w:t>开</w:t>
      </w:r>
      <w:r>
        <w:rPr>
          <w:rFonts w:ascii="宋体"/>
          <w:b/>
          <w:sz w:val="52"/>
        </w:rPr>
        <w:t>放课题</w:t>
      </w:r>
    </w:p>
    <w:p>
      <w:pPr>
        <w:keepNext w:val="0"/>
        <w:keepLines w:val="0"/>
        <w:pageBreakBefore w:val="0"/>
        <w:kinsoku/>
        <w:wordWrap/>
        <w:overflowPunct/>
        <w:topLinePunct w:val="0"/>
        <w:autoSpaceDE/>
        <w:autoSpaceDN/>
        <w:bidi w:val="0"/>
        <w:spacing w:line="360" w:lineRule="auto"/>
        <w:jc w:val="center"/>
        <w:textAlignment w:val="auto"/>
        <w:rPr>
          <w:rFonts w:ascii="宋体"/>
          <w:b/>
          <w:sz w:val="52"/>
        </w:rPr>
      </w:pPr>
      <w:r>
        <w:rPr>
          <w:rFonts w:hint="eastAsia" w:ascii="宋体"/>
          <w:b/>
          <w:sz w:val="52"/>
        </w:rPr>
        <w:t>国内外文献和专利检索、分析报告</w:t>
      </w:r>
    </w:p>
    <w:p>
      <w:pPr>
        <w:keepNext w:val="0"/>
        <w:keepLines w:val="0"/>
        <w:pageBreakBefore w:val="0"/>
        <w:kinsoku/>
        <w:wordWrap/>
        <w:overflowPunct/>
        <w:topLinePunct w:val="0"/>
        <w:autoSpaceDE/>
        <w:autoSpaceDN/>
        <w:bidi w:val="0"/>
        <w:spacing w:line="360" w:lineRule="auto"/>
        <w:textAlignment w:val="auto"/>
        <w:rPr>
          <w:rFonts w:ascii="宋体"/>
          <w:b/>
          <w:sz w:val="44"/>
        </w:rPr>
      </w:pPr>
    </w:p>
    <w:p>
      <w:pPr>
        <w:keepNext w:val="0"/>
        <w:keepLines w:val="0"/>
        <w:pageBreakBefore w:val="0"/>
        <w:kinsoku/>
        <w:wordWrap/>
        <w:overflowPunct/>
        <w:topLinePunct w:val="0"/>
        <w:autoSpaceDE/>
        <w:autoSpaceDN/>
        <w:bidi w:val="0"/>
        <w:spacing w:line="360" w:lineRule="auto"/>
        <w:textAlignment w:val="auto"/>
        <w:rPr>
          <w:rFonts w:ascii="宋体"/>
          <w:b/>
          <w:sz w:val="44"/>
        </w:rPr>
      </w:pPr>
    </w:p>
    <w:p>
      <w:pPr>
        <w:keepNext w:val="0"/>
        <w:keepLines w:val="0"/>
        <w:pageBreakBefore w:val="0"/>
        <w:kinsoku/>
        <w:wordWrap/>
        <w:overflowPunct/>
        <w:topLinePunct w:val="0"/>
        <w:autoSpaceDE/>
        <w:autoSpaceDN/>
        <w:bidi w:val="0"/>
        <w:spacing w:line="360" w:lineRule="auto"/>
        <w:textAlignment w:val="auto"/>
        <w:rPr>
          <w:rFonts w:ascii="宋体"/>
          <w:b/>
          <w:sz w:val="44"/>
        </w:rPr>
      </w:pPr>
    </w:p>
    <w:p>
      <w:pPr>
        <w:keepNext w:val="0"/>
        <w:keepLines w:val="0"/>
        <w:pageBreakBefore w:val="0"/>
        <w:kinsoku/>
        <w:wordWrap/>
        <w:overflowPunct/>
        <w:topLinePunct w:val="0"/>
        <w:autoSpaceDE/>
        <w:autoSpaceDN/>
        <w:bidi w:val="0"/>
        <w:spacing w:line="360" w:lineRule="auto"/>
        <w:textAlignment w:val="auto"/>
        <w:rPr>
          <w:rFonts w:ascii="宋体"/>
          <w:b/>
          <w:sz w:val="44"/>
        </w:rPr>
      </w:pPr>
    </w:p>
    <w:p>
      <w:pPr>
        <w:keepNext w:val="0"/>
        <w:keepLines w:val="0"/>
        <w:pageBreakBefore w:val="0"/>
        <w:kinsoku/>
        <w:wordWrap/>
        <w:overflowPunct/>
        <w:topLinePunct w:val="0"/>
        <w:autoSpaceDE/>
        <w:autoSpaceDN/>
        <w:bidi w:val="0"/>
        <w:spacing w:line="360" w:lineRule="auto"/>
        <w:ind w:left="425" w:firstLine="425"/>
        <w:textAlignment w:val="auto"/>
        <w:rPr>
          <w:rFonts w:hint="eastAsia" w:ascii="宋体"/>
          <w:b w:val="0"/>
          <w:bCs/>
          <w:sz w:val="36"/>
          <w:lang w:eastAsia="zh-CN"/>
        </w:rPr>
      </w:pPr>
      <w:r>
        <w:rPr>
          <w:rFonts w:hint="eastAsia" w:ascii="宋体"/>
          <w:b w:val="0"/>
          <w:bCs/>
          <w:sz w:val="36"/>
        </w:rPr>
        <w:t>课题名称</w:t>
      </w:r>
      <w:r>
        <w:rPr>
          <w:rFonts w:hint="eastAsia" w:ascii="宋体"/>
          <w:b w:val="0"/>
          <w:bCs/>
          <w:sz w:val="36"/>
          <w:lang w:eastAsia="zh-CN"/>
        </w:rPr>
        <w:t>：</w:t>
      </w:r>
    </w:p>
    <w:p>
      <w:pPr>
        <w:keepNext w:val="0"/>
        <w:keepLines w:val="0"/>
        <w:pageBreakBefore w:val="0"/>
        <w:kinsoku/>
        <w:wordWrap/>
        <w:overflowPunct/>
        <w:topLinePunct w:val="0"/>
        <w:autoSpaceDE/>
        <w:autoSpaceDN/>
        <w:bidi w:val="0"/>
        <w:spacing w:line="360" w:lineRule="auto"/>
        <w:ind w:left="425" w:firstLine="425"/>
        <w:textAlignment w:val="auto"/>
        <w:rPr>
          <w:rFonts w:hint="eastAsia" w:ascii="宋体"/>
          <w:sz w:val="36"/>
        </w:rPr>
      </w:pPr>
    </w:p>
    <w:p>
      <w:pPr>
        <w:keepNext w:val="0"/>
        <w:keepLines w:val="0"/>
        <w:pageBreakBefore w:val="0"/>
        <w:kinsoku/>
        <w:wordWrap/>
        <w:overflowPunct/>
        <w:topLinePunct w:val="0"/>
        <w:autoSpaceDE/>
        <w:autoSpaceDN/>
        <w:bidi w:val="0"/>
        <w:spacing w:line="360" w:lineRule="auto"/>
        <w:ind w:left="425" w:firstLine="425"/>
        <w:textAlignment w:val="auto"/>
        <w:rPr>
          <w:rFonts w:hint="eastAsia" w:ascii="宋体"/>
          <w:sz w:val="36"/>
        </w:rPr>
      </w:pPr>
      <w:r>
        <w:rPr>
          <w:rFonts w:hint="eastAsia" w:ascii="宋体"/>
          <w:sz w:val="36"/>
        </w:rPr>
        <w:t>申报单位：</w:t>
      </w:r>
    </w:p>
    <w:p>
      <w:pPr>
        <w:keepNext w:val="0"/>
        <w:keepLines w:val="0"/>
        <w:pageBreakBefore w:val="0"/>
        <w:kinsoku/>
        <w:wordWrap/>
        <w:overflowPunct/>
        <w:topLinePunct w:val="0"/>
        <w:autoSpaceDE/>
        <w:autoSpaceDN/>
        <w:bidi w:val="0"/>
        <w:spacing w:line="360" w:lineRule="auto"/>
        <w:ind w:left="425" w:firstLine="425"/>
        <w:textAlignment w:val="auto"/>
        <w:rPr>
          <w:rFonts w:hint="eastAsia" w:ascii="宋体"/>
          <w:sz w:val="36"/>
        </w:rPr>
      </w:pPr>
    </w:p>
    <w:p>
      <w:pPr>
        <w:keepNext w:val="0"/>
        <w:keepLines w:val="0"/>
        <w:pageBreakBefore w:val="0"/>
        <w:kinsoku/>
        <w:wordWrap/>
        <w:overflowPunct/>
        <w:topLinePunct w:val="0"/>
        <w:autoSpaceDE/>
        <w:autoSpaceDN/>
        <w:bidi w:val="0"/>
        <w:spacing w:line="360" w:lineRule="auto"/>
        <w:ind w:left="425" w:firstLine="425"/>
        <w:textAlignment w:val="auto"/>
        <w:rPr>
          <w:rFonts w:hint="eastAsia" w:ascii="宋体"/>
          <w:sz w:val="36"/>
        </w:rPr>
      </w:pPr>
    </w:p>
    <w:p>
      <w:pPr>
        <w:keepNext w:val="0"/>
        <w:keepLines w:val="0"/>
        <w:pageBreakBefore w:val="0"/>
        <w:kinsoku/>
        <w:wordWrap/>
        <w:overflowPunct/>
        <w:topLinePunct w:val="0"/>
        <w:autoSpaceDE/>
        <w:autoSpaceDN/>
        <w:bidi w:val="0"/>
        <w:spacing w:line="360" w:lineRule="auto"/>
        <w:ind w:left="425" w:firstLine="425"/>
        <w:textAlignment w:val="auto"/>
        <w:rPr>
          <w:rFonts w:ascii="宋体"/>
          <w:sz w:val="36"/>
        </w:rPr>
      </w:pPr>
      <w:r>
        <w:rPr>
          <w:rFonts w:hint="eastAsia" w:ascii="宋体"/>
          <w:sz w:val="36"/>
        </w:rPr>
        <w:t>申报时间：        年    月    日</w:t>
      </w:r>
    </w:p>
    <w:p>
      <w:pPr>
        <w:keepNext w:val="0"/>
        <w:keepLines w:val="0"/>
        <w:pageBreakBefore w:val="0"/>
        <w:kinsoku/>
        <w:wordWrap/>
        <w:overflowPunct/>
        <w:topLinePunct w:val="0"/>
        <w:autoSpaceDE/>
        <w:autoSpaceDN/>
        <w:bidi w:val="0"/>
        <w:spacing w:line="360" w:lineRule="auto"/>
        <w:ind w:firstLine="1470"/>
        <w:textAlignment w:val="auto"/>
        <w:rPr>
          <w:rFonts w:ascii="宋体"/>
          <w:sz w:val="36"/>
        </w:rPr>
        <w:sectPr>
          <w:pgSz w:w="11906" w:h="16838"/>
          <w:pgMar w:top="1418" w:right="1247" w:bottom="1985" w:left="1701" w:header="851" w:footer="1701" w:gutter="0"/>
          <w:pgNumType w:start="0"/>
          <w:cols w:space="425" w:num="1"/>
          <w:titlePg/>
          <w:docGrid w:type="lines" w:linePitch="312" w:charSpace="0"/>
        </w:sectPr>
      </w:pPr>
    </w:p>
    <w:p>
      <w:pPr>
        <w:keepNext w:val="0"/>
        <w:keepLines w:val="0"/>
        <w:pageBreakBefore w:val="0"/>
        <w:kinsoku/>
        <w:wordWrap/>
        <w:overflowPunct/>
        <w:topLinePunct w:val="0"/>
        <w:autoSpaceDE/>
        <w:autoSpaceDN/>
        <w:bidi w:val="0"/>
        <w:spacing w:line="360" w:lineRule="auto"/>
        <w:ind w:hanging="105"/>
        <w:jc w:val="center"/>
        <w:textAlignment w:val="auto"/>
        <w:rPr>
          <w:rFonts w:ascii="宋体"/>
          <w:sz w:val="30"/>
        </w:rPr>
      </w:pPr>
      <w:r>
        <w:rPr>
          <w:rFonts w:hint="eastAsia" w:ascii="宋体"/>
          <w:sz w:val="30"/>
        </w:rPr>
        <w:t>编制说明</w:t>
      </w:r>
    </w:p>
    <w:p>
      <w:pPr>
        <w:keepNext w:val="0"/>
        <w:keepLines w:val="0"/>
        <w:pageBreakBefore w:val="0"/>
        <w:kinsoku/>
        <w:wordWrap/>
        <w:overflowPunct/>
        <w:topLinePunct w:val="0"/>
        <w:autoSpaceDE/>
        <w:autoSpaceDN/>
        <w:bidi w:val="0"/>
        <w:spacing w:line="360" w:lineRule="auto"/>
        <w:jc w:val="left"/>
        <w:textAlignment w:val="auto"/>
        <w:rPr>
          <w:rFonts w:ascii="宋体"/>
          <w:sz w:val="24"/>
        </w:rPr>
      </w:pPr>
      <w:r>
        <w:rPr>
          <w:rFonts w:hint="eastAsia" w:ascii="宋体"/>
          <w:sz w:val="24"/>
        </w:rPr>
        <w:t>1.向</w:t>
      </w:r>
      <w:r>
        <w:rPr>
          <w:rFonts w:ascii="宋体"/>
          <w:sz w:val="24"/>
        </w:rPr>
        <w:t>石油化工</w:t>
      </w:r>
      <w:r>
        <w:rPr>
          <w:rFonts w:hint="eastAsia" w:ascii="宋体"/>
          <w:sz w:val="24"/>
          <w:lang w:eastAsia="zh-CN"/>
        </w:rPr>
        <w:t>分子转化</w:t>
      </w:r>
      <w:r>
        <w:rPr>
          <w:rFonts w:ascii="宋体"/>
          <w:sz w:val="24"/>
        </w:rPr>
        <w:t>与反应工程</w:t>
      </w:r>
      <w:r>
        <w:rPr>
          <w:rFonts w:hint="eastAsia" w:ascii="宋体"/>
          <w:sz w:val="24"/>
          <w:lang w:eastAsia="zh-CN"/>
        </w:rPr>
        <w:t>全国</w:t>
      </w:r>
      <w:r>
        <w:rPr>
          <w:rFonts w:ascii="宋体"/>
          <w:sz w:val="24"/>
        </w:rPr>
        <w:t>重点实验室</w:t>
      </w:r>
      <w:r>
        <w:rPr>
          <w:rFonts w:hint="eastAsia" w:ascii="宋体"/>
          <w:sz w:val="24"/>
        </w:rPr>
        <w:t>申报科学研究、技术开发课题前需先填报“</w:t>
      </w:r>
      <w:r>
        <w:rPr>
          <w:rFonts w:ascii="宋体"/>
          <w:sz w:val="24"/>
        </w:rPr>
        <w:t>石油化工</w:t>
      </w:r>
      <w:r>
        <w:rPr>
          <w:rFonts w:hint="eastAsia" w:ascii="宋体"/>
          <w:sz w:val="24"/>
          <w:lang w:eastAsia="zh-CN"/>
        </w:rPr>
        <w:t>分子转化</w:t>
      </w:r>
      <w:r>
        <w:rPr>
          <w:rFonts w:ascii="宋体"/>
          <w:sz w:val="24"/>
        </w:rPr>
        <w:t>与反应工程</w:t>
      </w:r>
      <w:r>
        <w:rPr>
          <w:rFonts w:hint="eastAsia" w:ascii="宋体"/>
          <w:sz w:val="24"/>
          <w:lang w:eastAsia="zh-CN"/>
        </w:rPr>
        <w:t>全国</w:t>
      </w:r>
      <w:r>
        <w:rPr>
          <w:rFonts w:ascii="宋体"/>
          <w:sz w:val="24"/>
        </w:rPr>
        <w:t>重点实验室</w:t>
      </w:r>
      <w:r>
        <w:rPr>
          <w:rFonts w:hint="eastAsia" w:ascii="宋体"/>
          <w:sz w:val="24"/>
        </w:rPr>
        <w:t>开</w:t>
      </w:r>
      <w:r>
        <w:rPr>
          <w:rFonts w:ascii="宋体"/>
          <w:sz w:val="24"/>
        </w:rPr>
        <w:t>放课题</w:t>
      </w:r>
      <w:r>
        <w:rPr>
          <w:rFonts w:hint="eastAsia" w:ascii="宋体"/>
          <w:sz w:val="24"/>
        </w:rPr>
        <w:t>国内外文献和专利检索、分析报告书”，并作为开题报告必要附件上报有关审核部门。</w:t>
      </w:r>
    </w:p>
    <w:p>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268"/>
        <w:gridCol w:w="3780"/>
        <w:gridCol w:w="1890"/>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课题名称</w:t>
            </w:r>
          </w:p>
        </w:tc>
        <w:tc>
          <w:tcPr>
            <w:tcW w:w="7544" w:type="dxa"/>
            <w:gridSpan w:val="4"/>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1885"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承</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担</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单</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位</w:t>
            </w:r>
          </w:p>
        </w:tc>
        <w:tc>
          <w:tcPr>
            <w:tcW w:w="7544" w:type="dxa"/>
            <w:gridSpan w:val="4"/>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检索单位</w:t>
            </w:r>
          </w:p>
        </w:tc>
        <w:tc>
          <w:tcPr>
            <w:tcW w:w="7544" w:type="dxa"/>
            <w:gridSpan w:val="4"/>
            <w:vAlign w:val="center"/>
          </w:tcPr>
          <w:p>
            <w:pPr>
              <w:keepNext w:val="0"/>
              <w:keepLines w:val="0"/>
              <w:pageBreakBefore w:val="0"/>
              <w:kinsoku/>
              <w:wordWrap/>
              <w:overflowPunct/>
              <w:topLinePunct w:val="0"/>
              <w:autoSpaceDE/>
              <w:autoSpaceDN/>
              <w:bidi w:val="0"/>
              <w:spacing w:line="360" w:lineRule="auto"/>
              <w:textAlignment w:val="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885"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检索的数据</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库或文献名</w:t>
            </w:r>
          </w:p>
        </w:tc>
        <w:tc>
          <w:tcPr>
            <w:tcW w:w="5048" w:type="dxa"/>
            <w:gridSpan w:val="2"/>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手检（  ）             机检（</w:t>
            </w:r>
            <w:r>
              <w:rPr>
                <w:rFonts w:hint="eastAsia" w:ascii="宋体" w:hAnsi="宋体"/>
                <w:sz w:val="24"/>
              </w:rPr>
              <w:t>√</w:t>
            </w:r>
            <w:r>
              <w:rPr>
                <w:rFonts w:hint="eastAsia" w:ascii="宋体"/>
                <w:sz w:val="24"/>
              </w:rPr>
              <w:t>）</w:t>
            </w:r>
          </w:p>
        </w:tc>
        <w:tc>
          <w:tcPr>
            <w:tcW w:w="1890"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时    区</w:t>
            </w:r>
          </w:p>
        </w:tc>
        <w:tc>
          <w:tcPr>
            <w:tcW w:w="606"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结</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1268"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输入项</w:t>
            </w:r>
          </w:p>
        </w:tc>
        <w:tc>
          <w:tcPr>
            <w:tcW w:w="3780"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检索逻辑表达式</w:t>
            </w:r>
          </w:p>
        </w:tc>
        <w:tc>
          <w:tcPr>
            <w:tcW w:w="1890"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606"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2" w:hRule="atLeast"/>
        </w:trPr>
        <w:tc>
          <w:tcPr>
            <w:tcW w:w="1885" w:type="dxa"/>
            <w:tcBorders>
              <w:bottom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1268" w:type="dxa"/>
            <w:tcBorders>
              <w:bottom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3780" w:type="dxa"/>
            <w:tcBorders>
              <w:bottom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1890" w:type="dxa"/>
            <w:tcBorders>
              <w:bottom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606" w:type="dxa"/>
            <w:tcBorders>
              <w:bottom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bl>
    <w:p>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890"/>
        <w:gridCol w:w="4410"/>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28"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与</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本</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课</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题</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研</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究</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有</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关</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的</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非</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利</w:t>
            </w:r>
          </w:p>
          <w:p>
            <w:pPr>
              <w:keepNext w:val="0"/>
              <w:keepLines w:val="0"/>
              <w:pageBreakBefore w:val="0"/>
              <w:kinsoku/>
              <w:wordWrap/>
              <w:overflowPunct/>
              <w:topLinePunct w:val="0"/>
              <w:autoSpaceDE/>
              <w:autoSpaceDN/>
              <w:bidi w:val="0"/>
              <w:spacing w:line="360" w:lineRule="auto"/>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文</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献</w:t>
            </w:r>
          </w:p>
        </w:tc>
        <w:tc>
          <w:tcPr>
            <w:tcW w:w="1890"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文 献 来 源</w:t>
            </w:r>
          </w:p>
        </w:tc>
        <w:tc>
          <w:tcPr>
            <w:tcW w:w="4410"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文   献   名   称</w:t>
            </w:r>
          </w:p>
        </w:tc>
        <w:tc>
          <w:tcPr>
            <w:tcW w:w="260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文献发表人或单位名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trPr>
        <w:tc>
          <w:tcPr>
            <w:tcW w:w="528"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1890"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4410"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260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bl>
    <w:p>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05"/>
        <w:gridCol w:w="4095"/>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28"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与</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本</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课</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题</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研</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究</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有</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关</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的</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利</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2205"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  利  号</w:t>
            </w:r>
          </w:p>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（含中国专利号）</w:t>
            </w:r>
          </w:p>
        </w:tc>
        <w:tc>
          <w:tcPr>
            <w:tcW w:w="4095"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   利   名   称</w:t>
            </w:r>
          </w:p>
        </w:tc>
        <w:tc>
          <w:tcPr>
            <w:tcW w:w="260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专利权人或公司名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trPr>
        <w:tc>
          <w:tcPr>
            <w:tcW w:w="528"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2205"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4095"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260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bl>
    <w:p>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9435" w:type="dxa"/>
            <w:tcBorders>
              <w:bottom w:val="nil"/>
            </w:tcBorders>
            <w:vAlign w:val="center"/>
          </w:tcPr>
          <w:p>
            <w:pPr>
              <w:keepNext w:val="0"/>
              <w:keepLines w:val="0"/>
              <w:pageBreakBefore w:val="0"/>
              <w:kinsoku/>
              <w:wordWrap/>
              <w:overflowPunct/>
              <w:topLinePunct w:val="0"/>
              <w:autoSpaceDE/>
              <w:autoSpaceDN/>
              <w:bidi w:val="0"/>
              <w:spacing w:line="360" w:lineRule="auto"/>
              <w:textAlignment w:val="auto"/>
              <w:rPr>
                <w:rFonts w:ascii="宋体"/>
                <w:sz w:val="24"/>
              </w:rPr>
            </w:pPr>
          </w:p>
          <w:p>
            <w:pPr>
              <w:keepNext w:val="0"/>
              <w:keepLines w:val="0"/>
              <w:pageBreakBefore w:val="0"/>
              <w:numPr>
                <w:ilvl w:val="0"/>
                <w:numId w:val="1"/>
              </w:numPr>
              <w:kinsoku/>
              <w:wordWrap/>
              <w:overflowPunct/>
              <w:topLinePunct w:val="0"/>
              <w:autoSpaceDE/>
              <w:autoSpaceDN/>
              <w:bidi w:val="0"/>
              <w:spacing w:line="360" w:lineRule="auto"/>
              <w:textAlignment w:val="auto"/>
              <w:rPr>
                <w:rFonts w:ascii="宋体"/>
                <w:sz w:val="24"/>
              </w:rPr>
            </w:pPr>
            <w:r>
              <w:rPr>
                <w:rFonts w:hint="eastAsia" w:ascii="宋体"/>
                <w:sz w:val="24"/>
              </w:rPr>
              <w:t>公开文献和国内外专利情况分析</w:t>
            </w:r>
          </w:p>
          <w:p>
            <w:pPr>
              <w:keepNext w:val="0"/>
              <w:keepLines w:val="0"/>
              <w:pageBreakBefore w:val="0"/>
              <w:kinsoku/>
              <w:wordWrap/>
              <w:overflowPunct/>
              <w:topLinePunct w:val="0"/>
              <w:autoSpaceDE/>
              <w:autoSpaceDN/>
              <w:bidi w:val="0"/>
              <w:spacing w:line="360" w:lineRule="auto"/>
              <w:ind w:firstLine="840"/>
              <w:textAlignment w:val="auto"/>
              <w:rPr>
                <w:rFonts w:ascii="宋体"/>
                <w:sz w:val="24"/>
              </w:rPr>
            </w:pPr>
            <w:r>
              <w:rPr>
                <w:rFonts w:hint="eastAsia" w:ascii="宋体"/>
                <w:sz w:val="24"/>
              </w:rPr>
              <w:t>（研究与本课题有关的公开文献和公开、授权的国外专利，分析其发明构思、技术特点、发明效果、存在问题，提出可为本课题开发所借鉴的发明构思。）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0" w:hRule="atLeast"/>
        </w:trPr>
        <w:tc>
          <w:tcPr>
            <w:tcW w:w="9435" w:type="dxa"/>
            <w:tcBorders>
              <w:top w:val="nil"/>
              <w:bottom w:val="single" w:color="auto" w:sz="4" w:space="0"/>
            </w:tcBorders>
          </w:tcPr>
          <w:p>
            <w:pPr>
              <w:keepNext w:val="0"/>
              <w:keepLines w:val="0"/>
              <w:pageBreakBefore w:val="0"/>
              <w:kinsoku/>
              <w:wordWrap/>
              <w:overflowPunct/>
              <w:topLinePunct w:val="0"/>
              <w:autoSpaceDE/>
              <w:autoSpaceDN/>
              <w:bidi w:val="0"/>
              <w:spacing w:line="360" w:lineRule="auto"/>
              <w:textAlignment w:val="auto"/>
              <w:rPr>
                <w:rFonts w:ascii="宋体"/>
                <w:sz w:val="24"/>
              </w:rPr>
            </w:pPr>
          </w:p>
        </w:tc>
      </w:tr>
    </w:tbl>
    <w:p>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trPr>
        <w:tc>
          <w:tcPr>
            <w:tcW w:w="9435" w:type="dxa"/>
            <w:tcBorders>
              <w:bottom w:val="nil"/>
            </w:tcBorders>
            <w:vAlign w:val="center"/>
          </w:tcPr>
          <w:p>
            <w:pPr>
              <w:keepNext w:val="0"/>
              <w:keepLines w:val="0"/>
              <w:pageBreakBefore w:val="0"/>
              <w:kinsoku/>
              <w:wordWrap/>
              <w:overflowPunct/>
              <w:topLinePunct w:val="0"/>
              <w:autoSpaceDE/>
              <w:autoSpaceDN/>
              <w:bidi w:val="0"/>
              <w:spacing w:line="360" w:lineRule="auto"/>
              <w:textAlignment w:val="auto"/>
              <w:rPr>
                <w:rFonts w:ascii="宋体"/>
                <w:sz w:val="24"/>
              </w:rPr>
            </w:pPr>
          </w:p>
          <w:p>
            <w:pPr>
              <w:keepNext w:val="0"/>
              <w:keepLines w:val="0"/>
              <w:pageBreakBefore w:val="0"/>
              <w:numPr>
                <w:ilvl w:val="0"/>
                <w:numId w:val="1"/>
              </w:numPr>
              <w:kinsoku/>
              <w:wordWrap/>
              <w:overflowPunct/>
              <w:topLinePunct w:val="0"/>
              <w:autoSpaceDE/>
              <w:autoSpaceDN/>
              <w:bidi w:val="0"/>
              <w:spacing w:line="360" w:lineRule="auto"/>
              <w:textAlignment w:val="auto"/>
              <w:rPr>
                <w:rFonts w:ascii="宋体"/>
                <w:sz w:val="24"/>
              </w:rPr>
            </w:pPr>
            <w:r>
              <w:rPr>
                <w:rFonts w:hint="eastAsia" w:ascii="宋体"/>
                <w:sz w:val="24"/>
              </w:rPr>
              <w:t>中国公开和授权专利情况分析</w:t>
            </w:r>
          </w:p>
          <w:p>
            <w:pPr>
              <w:keepNext w:val="0"/>
              <w:keepLines w:val="0"/>
              <w:pageBreakBefore w:val="0"/>
              <w:kinsoku/>
              <w:wordWrap/>
              <w:overflowPunct/>
              <w:topLinePunct w:val="0"/>
              <w:autoSpaceDE/>
              <w:autoSpaceDN/>
              <w:bidi w:val="0"/>
              <w:spacing w:line="360" w:lineRule="auto"/>
              <w:ind w:firstLine="840"/>
              <w:textAlignment w:val="auto"/>
              <w:rPr>
                <w:rFonts w:ascii="宋体"/>
                <w:sz w:val="24"/>
              </w:rPr>
            </w:pPr>
            <w:r>
              <w:rPr>
                <w:rFonts w:hint="eastAsia" w:ascii="宋体"/>
                <w:sz w:val="24"/>
              </w:rPr>
              <w:t>（研究与课题有关的中国专利情况、分析国内外公司在中国公开、授权的专利的发明构思、技术特点、发明效果、存在问题、法律保护范围，研究对该课题的影响，提出避开他人专利保护范围、创新技术开发的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2" w:hRule="atLeast"/>
        </w:trPr>
        <w:tc>
          <w:tcPr>
            <w:tcW w:w="9435" w:type="dxa"/>
            <w:tcBorders>
              <w:top w:val="nil"/>
              <w:bottom w:val="single" w:color="auto" w:sz="4" w:space="0"/>
            </w:tcBorders>
          </w:tcPr>
          <w:p>
            <w:pPr>
              <w:keepNext w:val="0"/>
              <w:keepLines w:val="0"/>
              <w:pageBreakBefore w:val="0"/>
              <w:kinsoku/>
              <w:wordWrap/>
              <w:overflowPunct/>
              <w:topLinePunct w:val="0"/>
              <w:autoSpaceDE/>
              <w:autoSpaceDN/>
              <w:bidi w:val="0"/>
              <w:spacing w:line="360" w:lineRule="auto"/>
              <w:textAlignment w:val="auto"/>
              <w:rPr>
                <w:rFonts w:ascii="宋体"/>
                <w:sz w:val="24"/>
              </w:rPr>
            </w:pPr>
          </w:p>
        </w:tc>
      </w:tr>
    </w:tbl>
    <w:p>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434" w:type="dxa"/>
            <w:tcBorders>
              <w:bottom w:val="nil"/>
            </w:tcBorders>
            <w:vAlign w:val="center"/>
          </w:tcPr>
          <w:p>
            <w:pPr>
              <w:keepNext w:val="0"/>
              <w:keepLines w:val="0"/>
              <w:pageBreakBefore w:val="0"/>
              <w:kinsoku/>
              <w:wordWrap/>
              <w:overflowPunct/>
              <w:topLinePunct w:val="0"/>
              <w:autoSpaceDE/>
              <w:autoSpaceDN/>
              <w:bidi w:val="0"/>
              <w:spacing w:line="360" w:lineRule="auto"/>
              <w:textAlignment w:val="auto"/>
              <w:rPr>
                <w:rFonts w:ascii="宋体"/>
                <w:sz w:val="24"/>
              </w:rPr>
            </w:pPr>
            <w:r>
              <w:rPr>
                <w:rFonts w:hint="eastAsia" w:ascii="宋体"/>
                <w:sz w:val="24"/>
              </w:rPr>
              <w:t xml:space="preserve"> </w:t>
            </w:r>
          </w:p>
          <w:p>
            <w:pPr>
              <w:keepNext w:val="0"/>
              <w:keepLines w:val="0"/>
              <w:pageBreakBefore w:val="0"/>
              <w:kinsoku/>
              <w:wordWrap/>
              <w:overflowPunct/>
              <w:topLinePunct w:val="0"/>
              <w:autoSpaceDE/>
              <w:autoSpaceDN/>
              <w:bidi w:val="0"/>
              <w:spacing w:line="360" w:lineRule="auto"/>
              <w:ind w:firstLine="210"/>
              <w:textAlignment w:val="auto"/>
              <w:rPr>
                <w:rFonts w:ascii="宋体"/>
                <w:sz w:val="24"/>
              </w:rPr>
            </w:pPr>
            <w:r>
              <w:rPr>
                <w:rFonts w:hint="eastAsia" w:ascii="宋体"/>
                <w:sz w:val="24"/>
              </w:rPr>
              <w:t>三、本课题要解决的主要技术问题和解决方案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6" w:hRule="atLeast"/>
        </w:trPr>
        <w:tc>
          <w:tcPr>
            <w:tcW w:w="9434" w:type="dxa"/>
            <w:tcBorders>
              <w:top w:val="nil"/>
              <w:bottom w:val="single" w:color="auto" w:sz="4" w:space="0"/>
            </w:tcBorders>
          </w:tcPr>
          <w:p>
            <w:pPr>
              <w:keepNext w:val="0"/>
              <w:keepLines w:val="0"/>
              <w:pageBreakBefore w:val="0"/>
              <w:kinsoku/>
              <w:wordWrap/>
              <w:overflowPunct/>
              <w:topLinePunct w:val="0"/>
              <w:autoSpaceDE/>
              <w:autoSpaceDN/>
              <w:bidi w:val="0"/>
              <w:spacing w:line="360" w:lineRule="auto"/>
              <w:textAlignment w:val="auto"/>
              <w:rPr>
                <w:rFonts w:ascii="宋体"/>
                <w:sz w:val="24"/>
              </w:rPr>
            </w:pPr>
          </w:p>
        </w:tc>
      </w:tr>
    </w:tbl>
    <w:p>
      <w:pPr>
        <w:keepNext w:val="0"/>
        <w:keepLines w:val="0"/>
        <w:pageBreakBefore w:val="0"/>
        <w:kinsoku/>
        <w:wordWrap/>
        <w:overflowPunct/>
        <w:topLinePunct w:val="0"/>
        <w:autoSpaceDE/>
        <w:autoSpaceDN/>
        <w:bidi w:val="0"/>
        <w:spacing w:line="360" w:lineRule="auto"/>
        <w:textAlignment w:val="auto"/>
      </w:pPr>
    </w:p>
    <w:sectPr>
      <w:pgSz w:w="11906" w:h="16838"/>
      <w:pgMar w:top="1418" w:right="1247" w:bottom="198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14FA1"/>
    <w:multiLevelType w:val="singleLevel"/>
    <w:tmpl w:val="10314FA1"/>
    <w:lvl w:ilvl="0" w:tentative="0">
      <w:start w:val="1"/>
      <w:numFmt w:val="japaneseCounting"/>
      <w:lvlText w:val="%1、"/>
      <w:lvlJc w:val="left"/>
      <w:pPr>
        <w:tabs>
          <w:tab w:val="left" w:pos="840"/>
        </w:tabs>
        <w:ind w:left="84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27B58"/>
    <w:rsid w:val="000074D5"/>
    <w:rsid w:val="0001040A"/>
    <w:rsid w:val="00011066"/>
    <w:rsid w:val="00011B80"/>
    <w:rsid w:val="000152DF"/>
    <w:rsid w:val="000178CC"/>
    <w:rsid w:val="000270ED"/>
    <w:rsid w:val="00036D96"/>
    <w:rsid w:val="0005411B"/>
    <w:rsid w:val="00054F88"/>
    <w:rsid w:val="0005618F"/>
    <w:rsid w:val="00057EDE"/>
    <w:rsid w:val="0007457D"/>
    <w:rsid w:val="00083FBC"/>
    <w:rsid w:val="0009552A"/>
    <w:rsid w:val="00097546"/>
    <w:rsid w:val="000D5387"/>
    <w:rsid w:val="000D5DAB"/>
    <w:rsid w:val="000D69D8"/>
    <w:rsid w:val="000E030F"/>
    <w:rsid w:val="000E6BAE"/>
    <w:rsid w:val="000E7E89"/>
    <w:rsid w:val="000F391F"/>
    <w:rsid w:val="00102B5F"/>
    <w:rsid w:val="00146D09"/>
    <w:rsid w:val="00150723"/>
    <w:rsid w:val="001511B8"/>
    <w:rsid w:val="00153516"/>
    <w:rsid w:val="00160188"/>
    <w:rsid w:val="00162241"/>
    <w:rsid w:val="00163F57"/>
    <w:rsid w:val="00184D23"/>
    <w:rsid w:val="00195A2E"/>
    <w:rsid w:val="00197D28"/>
    <w:rsid w:val="001A29EB"/>
    <w:rsid w:val="001C4E2E"/>
    <w:rsid w:val="001C630B"/>
    <w:rsid w:val="001D2050"/>
    <w:rsid w:val="00201D7E"/>
    <w:rsid w:val="00234EF0"/>
    <w:rsid w:val="00247E4D"/>
    <w:rsid w:val="00250725"/>
    <w:rsid w:val="0029462D"/>
    <w:rsid w:val="002A0FEE"/>
    <w:rsid w:val="002A5795"/>
    <w:rsid w:val="002C249F"/>
    <w:rsid w:val="002D08F6"/>
    <w:rsid w:val="002D6C04"/>
    <w:rsid w:val="002E3A84"/>
    <w:rsid w:val="00302346"/>
    <w:rsid w:val="00312A72"/>
    <w:rsid w:val="00324433"/>
    <w:rsid w:val="0033201B"/>
    <w:rsid w:val="003344A0"/>
    <w:rsid w:val="00336290"/>
    <w:rsid w:val="00343455"/>
    <w:rsid w:val="00346766"/>
    <w:rsid w:val="003531AC"/>
    <w:rsid w:val="00355A59"/>
    <w:rsid w:val="003577E2"/>
    <w:rsid w:val="00363333"/>
    <w:rsid w:val="00365279"/>
    <w:rsid w:val="0037519B"/>
    <w:rsid w:val="003771E7"/>
    <w:rsid w:val="0038414D"/>
    <w:rsid w:val="00392ABE"/>
    <w:rsid w:val="0039393C"/>
    <w:rsid w:val="003A27AA"/>
    <w:rsid w:val="003B0979"/>
    <w:rsid w:val="003B138B"/>
    <w:rsid w:val="003B5F96"/>
    <w:rsid w:val="003E18D8"/>
    <w:rsid w:val="003E390A"/>
    <w:rsid w:val="003E39D0"/>
    <w:rsid w:val="003F1D95"/>
    <w:rsid w:val="003F2CB2"/>
    <w:rsid w:val="003F3F46"/>
    <w:rsid w:val="00406971"/>
    <w:rsid w:val="00421721"/>
    <w:rsid w:val="00427B58"/>
    <w:rsid w:val="0045113C"/>
    <w:rsid w:val="0045532A"/>
    <w:rsid w:val="004656D5"/>
    <w:rsid w:val="00471F71"/>
    <w:rsid w:val="004A7263"/>
    <w:rsid w:val="004B08E8"/>
    <w:rsid w:val="004B768E"/>
    <w:rsid w:val="004C19E7"/>
    <w:rsid w:val="004C2715"/>
    <w:rsid w:val="004D5208"/>
    <w:rsid w:val="00502CC3"/>
    <w:rsid w:val="0052326B"/>
    <w:rsid w:val="005314DC"/>
    <w:rsid w:val="00551346"/>
    <w:rsid w:val="00557922"/>
    <w:rsid w:val="00562158"/>
    <w:rsid w:val="0059555A"/>
    <w:rsid w:val="00595BE3"/>
    <w:rsid w:val="005D3E5C"/>
    <w:rsid w:val="005F54BA"/>
    <w:rsid w:val="00620580"/>
    <w:rsid w:val="00620D6D"/>
    <w:rsid w:val="00623A85"/>
    <w:rsid w:val="00627858"/>
    <w:rsid w:val="006436F9"/>
    <w:rsid w:val="00643977"/>
    <w:rsid w:val="00645B59"/>
    <w:rsid w:val="00647A80"/>
    <w:rsid w:val="006549FD"/>
    <w:rsid w:val="00655384"/>
    <w:rsid w:val="00657E78"/>
    <w:rsid w:val="0066500D"/>
    <w:rsid w:val="00667A54"/>
    <w:rsid w:val="006709A4"/>
    <w:rsid w:val="00675DB8"/>
    <w:rsid w:val="00686B27"/>
    <w:rsid w:val="006920F1"/>
    <w:rsid w:val="006A38C2"/>
    <w:rsid w:val="006C71AD"/>
    <w:rsid w:val="006D4FEF"/>
    <w:rsid w:val="00710799"/>
    <w:rsid w:val="007621BB"/>
    <w:rsid w:val="00765370"/>
    <w:rsid w:val="007911D2"/>
    <w:rsid w:val="007967F8"/>
    <w:rsid w:val="007A7DE8"/>
    <w:rsid w:val="007B35A6"/>
    <w:rsid w:val="007C60BA"/>
    <w:rsid w:val="007D69C6"/>
    <w:rsid w:val="007F13AB"/>
    <w:rsid w:val="007F3C07"/>
    <w:rsid w:val="00807566"/>
    <w:rsid w:val="00811AAE"/>
    <w:rsid w:val="00826C27"/>
    <w:rsid w:val="008314B0"/>
    <w:rsid w:val="0083254A"/>
    <w:rsid w:val="00833482"/>
    <w:rsid w:val="00837E8A"/>
    <w:rsid w:val="00846E3D"/>
    <w:rsid w:val="00850B78"/>
    <w:rsid w:val="00851BFB"/>
    <w:rsid w:val="008804FC"/>
    <w:rsid w:val="00893D90"/>
    <w:rsid w:val="008B4353"/>
    <w:rsid w:val="008B49F6"/>
    <w:rsid w:val="008C2DA0"/>
    <w:rsid w:val="008C6E01"/>
    <w:rsid w:val="008D3D09"/>
    <w:rsid w:val="008E1FD1"/>
    <w:rsid w:val="008E35BA"/>
    <w:rsid w:val="008E3C90"/>
    <w:rsid w:val="008E5EE8"/>
    <w:rsid w:val="008E7807"/>
    <w:rsid w:val="008F2DFF"/>
    <w:rsid w:val="008F3358"/>
    <w:rsid w:val="008F427A"/>
    <w:rsid w:val="008F51FB"/>
    <w:rsid w:val="009011FB"/>
    <w:rsid w:val="0090367D"/>
    <w:rsid w:val="0093254C"/>
    <w:rsid w:val="00944B0B"/>
    <w:rsid w:val="009702BE"/>
    <w:rsid w:val="00970559"/>
    <w:rsid w:val="00970DE3"/>
    <w:rsid w:val="00991EB8"/>
    <w:rsid w:val="009922AC"/>
    <w:rsid w:val="009A4BDF"/>
    <w:rsid w:val="009A5BF9"/>
    <w:rsid w:val="009B6359"/>
    <w:rsid w:val="009C2300"/>
    <w:rsid w:val="009E5E0B"/>
    <w:rsid w:val="00A04980"/>
    <w:rsid w:val="00A311C5"/>
    <w:rsid w:val="00A35217"/>
    <w:rsid w:val="00A826C6"/>
    <w:rsid w:val="00AB2AFE"/>
    <w:rsid w:val="00AB5057"/>
    <w:rsid w:val="00AC2A6B"/>
    <w:rsid w:val="00AD7CA7"/>
    <w:rsid w:val="00AE3015"/>
    <w:rsid w:val="00AE63AA"/>
    <w:rsid w:val="00AF178D"/>
    <w:rsid w:val="00AF706F"/>
    <w:rsid w:val="00B60760"/>
    <w:rsid w:val="00C00B89"/>
    <w:rsid w:val="00C141AB"/>
    <w:rsid w:val="00C31B20"/>
    <w:rsid w:val="00C33F71"/>
    <w:rsid w:val="00C65E72"/>
    <w:rsid w:val="00C6678E"/>
    <w:rsid w:val="00C714CF"/>
    <w:rsid w:val="00C97225"/>
    <w:rsid w:val="00CC7EBC"/>
    <w:rsid w:val="00CD2E15"/>
    <w:rsid w:val="00CD72C5"/>
    <w:rsid w:val="00CE3A93"/>
    <w:rsid w:val="00CE67FD"/>
    <w:rsid w:val="00D023A9"/>
    <w:rsid w:val="00D2061E"/>
    <w:rsid w:val="00D45A93"/>
    <w:rsid w:val="00D75493"/>
    <w:rsid w:val="00D820F8"/>
    <w:rsid w:val="00D84AEE"/>
    <w:rsid w:val="00D84CC5"/>
    <w:rsid w:val="00D90732"/>
    <w:rsid w:val="00DA0538"/>
    <w:rsid w:val="00DC00CD"/>
    <w:rsid w:val="00E03335"/>
    <w:rsid w:val="00E14064"/>
    <w:rsid w:val="00E25657"/>
    <w:rsid w:val="00E41CBD"/>
    <w:rsid w:val="00E52769"/>
    <w:rsid w:val="00E64F32"/>
    <w:rsid w:val="00E652B4"/>
    <w:rsid w:val="00E73150"/>
    <w:rsid w:val="00E80FB4"/>
    <w:rsid w:val="00E81F80"/>
    <w:rsid w:val="00E820CC"/>
    <w:rsid w:val="00E82688"/>
    <w:rsid w:val="00E84F8E"/>
    <w:rsid w:val="00E976E2"/>
    <w:rsid w:val="00F013DE"/>
    <w:rsid w:val="00F06808"/>
    <w:rsid w:val="00F079D3"/>
    <w:rsid w:val="00F10387"/>
    <w:rsid w:val="00F10DAA"/>
    <w:rsid w:val="00F11F7B"/>
    <w:rsid w:val="00F16B3C"/>
    <w:rsid w:val="00F36A48"/>
    <w:rsid w:val="00F61E1B"/>
    <w:rsid w:val="00F7579A"/>
    <w:rsid w:val="00F92B87"/>
    <w:rsid w:val="00FA6988"/>
    <w:rsid w:val="00FB3762"/>
    <w:rsid w:val="00FC08DB"/>
    <w:rsid w:val="00FC4E3A"/>
    <w:rsid w:val="00FC5C9A"/>
    <w:rsid w:val="00FC6D60"/>
    <w:rsid w:val="22B174C6"/>
    <w:rsid w:val="38402B94"/>
    <w:rsid w:val="61C83E7A"/>
    <w:rsid w:val="62185EA9"/>
    <w:rsid w:val="7AF8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spacing w:line="300" w:lineRule="auto"/>
      <w:ind w:firstLine="600" w:firstLineChars="200"/>
    </w:pPr>
    <w:rPr>
      <w:rFonts w:ascii="仿宋_GB2312" w:eastAsia="仿宋_GB2312"/>
      <w:bCs/>
      <w:sz w:val="30"/>
      <w:szCs w:val="20"/>
    </w:rPr>
  </w:style>
  <w:style w:type="paragraph" w:styleId="4">
    <w:name w:val="Plain Text"/>
    <w:basedOn w:val="1"/>
    <w:qFormat/>
    <w:uiPriority w:val="0"/>
    <w:rPr>
      <w:rFonts w:ascii="宋体" w:hAnsi="Courier New"/>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15">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6">
    <w:name w:val="批注文字 Char"/>
    <w:link w:val="2"/>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font41"/>
    <w:basedOn w:val="11"/>
    <w:qFormat/>
    <w:uiPriority w:val="0"/>
    <w:rPr>
      <w:rFonts w:ascii="黑体" w:hAnsi="宋体" w:eastAsia="黑体" w:cs="黑体"/>
      <w:color w:val="000000"/>
      <w:sz w:val="22"/>
      <w:szCs w:val="22"/>
      <w:u w:val="none"/>
    </w:rPr>
  </w:style>
  <w:style w:type="character" w:customStyle="1" w:styleId="20">
    <w:name w:val="font11"/>
    <w:basedOn w:val="11"/>
    <w:uiPriority w:val="0"/>
    <w:rPr>
      <w:rFonts w:hint="eastAsia" w:ascii="宋体" w:hAnsi="宋体" w:eastAsia="宋体" w:cs="宋体"/>
      <w:color w:val="000000"/>
      <w:sz w:val="22"/>
      <w:szCs w:val="22"/>
      <w:u w:val="none"/>
    </w:rPr>
  </w:style>
  <w:style w:type="character" w:customStyle="1" w:styleId="21">
    <w:name w:val="font01"/>
    <w:basedOn w:val="11"/>
    <w:uiPriority w:val="0"/>
    <w:rPr>
      <w:rFonts w:hint="eastAsia" w:ascii="宋体" w:hAnsi="宋体" w:eastAsia="宋体" w:cs="宋体"/>
      <w:color w:val="000000"/>
      <w:sz w:val="22"/>
      <w:szCs w:val="22"/>
      <w:u w:val="none"/>
    </w:rPr>
  </w:style>
  <w:style w:type="character" w:customStyle="1" w:styleId="22">
    <w:name w:val="font31"/>
    <w:basedOn w:val="11"/>
    <w:qFormat/>
    <w:uiPriority w:val="0"/>
    <w:rPr>
      <w:rFonts w:hint="default" w:ascii="Times New Roman" w:hAnsi="Times New Roman" w:cs="Times New Roman"/>
      <w:color w:val="000000"/>
      <w:sz w:val="22"/>
      <w:szCs w:val="22"/>
      <w:u w:val="none"/>
    </w:rPr>
  </w:style>
  <w:style w:type="character" w:customStyle="1" w:styleId="23">
    <w:name w:val="font5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778C203DC3BA274FBDC958F608634C36" ma:contentTypeVersion="1" ma:contentTypeDescription="新建文档。" ma:contentTypeScope="" ma:versionID="27d4aa5c1991e025e248f843c9df0162">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BB550-2468-49F8-B2F5-D2BB4B749EC5}"/>
</file>

<file path=customXml/itemProps2.xml><?xml version="1.0" encoding="utf-8"?>
<ds:datastoreItem xmlns:ds="http://schemas.openxmlformats.org/officeDocument/2006/customXml" ds:itemID="{A1ADDB86-6E8A-41FC-80AF-F8045D09DB3F}"/>
</file>

<file path=customXml/itemProps3.xml><?xml version="1.0" encoding="utf-8"?>
<ds:datastoreItem xmlns:ds="http://schemas.openxmlformats.org/officeDocument/2006/customXml" ds:itemID="{E2C75B89-1441-4FC0-A6FF-F7C795604062}"/>
</file>

<file path=customXml/itemProps4.xml><?xml version="1.0" encoding="utf-8"?>
<ds:datastoreItem xmlns:ds="http://schemas.openxmlformats.org/officeDocument/2006/customXml" ds:itemID="{D101E2EB-8CB7-497C-AA58-54E9D52C1FE9}"/>
</file>

<file path=docProps/app.xml><?xml version="1.0" encoding="utf-8"?>
<Properties xmlns="http://schemas.openxmlformats.org/officeDocument/2006/extended-properties" xmlns:vt="http://schemas.openxmlformats.org/officeDocument/2006/docPropsVTypes">
  <Template>Normal.dotm</Template>
  <Company>Sinopec</Company>
  <Pages>32</Pages>
  <Words>858</Words>
  <Characters>4897</Characters>
  <Lines>40</Lines>
  <Paragraphs>11</Paragraphs>
  <TotalTime>14</TotalTime>
  <ScaleCrop>false</ScaleCrop>
  <LinksUpToDate>false</LinksUpToDate>
  <CharactersWithSpaces>5744</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dc:creator>
  <cp:lastModifiedBy>韩璐</cp:lastModifiedBy>
  <cp:revision>5</cp:revision>
  <cp:lastPrinted>2022-03-23T01:17:00Z</cp:lastPrinted>
  <dcterms:created xsi:type="dcterms:W3CDTF">2022-03-23T01:15:00Z</dcterms:created>
  <dcterms:modified xsi:type="dcterms:W3CDTF">2024-07-19T01:17:00Z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0x010100778C203DC3BA274FBDC958F608634C36</vt:lpwstr>
  </property>
  <property fmtid="{D5CDD505-2E9C-101B-9397-08002B2CF9AE}" pid="3" name="KSOProductBuildVer">
    <vt:lpwstr>2052-11.8.0.16970</vt:lpwstr>
  </property>
  <property fmtid="{D5CDD505-2E9C-101B-9397-08002B2CF9AE}" pid="4" name="ICV">
    <vt:lpwstr>20B3B405D0C347349C0E1C899D17BFC8</vt:lpwstr>
  </property>
</Properties>
</file>