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E711D0">
      <w:pPr>
        <w:keepNext w:val="0"/>
        <w:keepLines w:val="0"/>
        <w:pageBreakBefore w:val="0"/>
        <w:kinsoku/>
        <w:wordWrap/>
        <w:overflowPunct/>
        <w:topLinePunct w:val="0"/>
        <w:autoSpaceDE/>
        <w:autoSpaceDN/>
        <w:bidi w:val="0"/>
        <w:spacing w:line="360" w:lineRule="auto"/>
        <w:jc w:val="center"/>
        <w:textAlignment w:val="auto"/>
        <w:rPr>
          <w:rFonts w:eastAsia="黑体"/>
          <w:kern w:val="0"/>
          <w:sz w:val="36"/>
          <w:szCs w:val="36"/>
          <w:highlight w:val="none"/>
        </w:rPr>
      </w:pPr>
      <w:r>
        <w:rPr>
          <w:rFonts w:eastAsia="黑体"/>
          <w:kern w:val="0"/>
          <w:sz w:val="36"/>
          <w:szCs w:val="36"/>
        </w:rPr>
        <w:t xml:space="preserve">                                                                                                                                                                                                                                                                                                                                                                                                                                                                                                                                                                                                                                                                                                                                                                         </w:t>
      </w:r>
      <w:bookmarkStart w:id="0" w:name="_GoBack"/>
      <w:r>
        <w:rPr>
          <w:rFonts w:hint="eastAsia" w:eastAsia="黑体"/>
          <w:kern w:val="0"/>
          <w:sz w:val="36"/>
          <w:szCs w:val="36"/>
          <w:lang w:val="en-US" w:eastAsia="zh-CN"/>
        </w:rPr>
        <w:t>中国石化石油化工科学研究院合作研究课题</w:t>
      </w:r>
      <w:r>
        <w:rPr>
          <w:rFonts w:eastAsia="黑体"/>
          <w:kern w:val="0"/>
          <w:sz w:val="36"/>
          <w:szCs w:val="36"/>
          <w:highlight w:val="none"/>
        </w:rPr>
        <w:t>申请指南</w:t>
      </w:r>
      <w:bookmarkEnd w:id="0"/>
    </w:p>
    <w:p w14:paraId="1CF5E29A">
      <w:pPr>
        <w:keepNext w:val="0"/>
        <w:keepLines w:val="0"/>
        <w:pageBreakBefore w:val="0"/>
        <w:kinsoku/>
        <w:wordWrap/>
        <w:overflowPunct/>
        <w:topLinePunct w:val="0"/>
        <w:autoSpaceDE/>
        <w:autoSpaceDN/>
        <w:bidi w:val="0"/>
        <w:spacing w:line="360" w:lineRule="auto"/>
        <w:jc w:val="center"/>
        <w:textAlignment w:val="auto"/>
        <w:rPr>
          <w:rFonts w:eastAsia="黑体"/>
          <w:kern w:val="0"/>
          <w:sz w:val="36"/>
          <w:szCs w:val="36"/>
        </w:rPr>
      </w:pPr>
    </w:p>
    <w:p w14:paraId="1A1E8F76">
      <w:pPr>
        <w:keepNext w:val="0"/>
        <w:keepLines w:val="0"/>
        <w:pageBreakBefore w:val="0"/>
        <w:kinsoku/>
        <w:wordWrap/>
        <w:overflowPunct/>
        <w:topLinePunct w:val="0"/>
        <w:autoSpaceDE/>
        <w:autoSpaceDN/>
        <w:bidi w:val="0"/>
        <w:adjustRightInd w:val="0"/>
        <w:snapToGrid w:val="0"/>
        <w:spacing w:line="360" w:lineRule="auto"/>
        <w:ind w:firstLine="672" w:firstLineChars="240"/>
        <w:textAlignment w:val="auto"/>
        <w:rPr>
          <w:rFonts w:eastAsia="仿宋_GB2312"/>
          <w:sz w:val="28"/>
          <w:szCs w:val="28"/>
        </w:rPr>
      </w:pPr>
      <w:r>
        <w:rPr>
          <w:rFonts w:hint="eastAsia" w:eastAsia="仿宋_GB2312"/>
          <w:sz w:val="28"/>
          <w:szCs w:val="28"/>
        </w:rPr>
        <w:t>中石化石油化工科学研究院有限公司（以下简称石科院）是中国石化直属的综合性科学技术研究开发机构，创建于1956年，在国际上拥有较高的知名度和影响力，是国家高新技术企业。研发领域以石油炼制技术开发为主，注重油化结合，兼顾相关石油化工技术研发，研究领域涵盖炼油、石油产品、化工、材料、新能源、环保、智能化、资源循环利用等方面。多年来，石科院注重发挥市场需求拉动和知识创新驱动作用，着力强化产学研协同创新，拥有具有自主知识产权的石油炼制全流程技术平台，是国内炼油企业主要的技术提供者，具备支撑和引领现代化炼油厂建设、生产和发展的综合能力，是全球拥有2000万吨/年炼油项目业绩的三家专利商之一</w:t>
      </w:r>
      <w:r>
        <w:rPr>
          <w:rFonts w:eastAsia="仿宋_GB2312"/>
          <w:sz w:val="28"/>
          <w:szCs w:val="28"/>
        </w:rPr>
        <w:t>。</w:t>
      </w:r>
    </w:p>
    <w:p w14:paraId="12CD9204">
      <w:pPr>
        <w:keepNext w:val="0"/>
        <w:keepLines w:val="0"/>
        <w:pageBreakBefore w:val="0"/>
        <w:kinsoku/>
        <w:wordWrap/>
        <w:overflowPunct/>
        <w:topLinePunct w:val="0"/>
        <w:autoSpaceDE/>
        <w:autoSpaceDN/>
        <w:bidi w:val="0"/>
        <w:adjustRightInd w:val="0"/>
        <w:snapToGrid w:val="0"/>
        <w:spacing w:line="360" w:lineRule="auto"/>
        <w:ind w:firstLine="560" w:firstLineChars="200"/>
        <w:textAlignment w:val="auto"/>
        <w:rPr>
          <w:rFonts w:eastAsia="仿宋_GB2312"/>
          <w:kern w:val="0"/>
          <w:sz w:val="28"/>
          <w:szCs w:val="28"/>
        </w:rPr>
      </w:pPr>
      <w:r>
        <w:rPr>
          <w:rFonts w:hint="eastAsia" w:eastAsia="仿宋_GB2312"/>
          <w:sz w:val="28"/>
          <w:szCs w:val="28"/>
        </w:rPr>
        <w:t>为了构建产学研深度融合的创新体系，石科院设立</w:t>
      </w:r>
      <w:r>
        <w:rPr>
          <w:rFonts w:hint="eastAsia" w:eastAsia="仿宋_GB2312"/>
          <w:sz w:val="28"/>
          <w:szCs w:val="28"/>
          <w:lang w:eastAsia="zh-CN"/>
        </w:rPr>
        <w:t>合作研究课题</w:t>
      </w:r>
      <w:r>
        <w:rPr>
          <w:rFonts w:hint="eastAsia" w:eastAsia="仿宋_GB2312"/>
          <w:sz w:val="28"/>
          <w:szCs w:val="28"/>
        </w:rPr>
        <w:t>，旨在汇聚高校的前沿理论优势与自身的产业技术特长。通过联合攻关，加速核心技术突破与成果转化，并搭建高水平人才培育平台。最终达到强化创新链与产业链对接、引领行业技术进步、服务国家能源化工发展战略的总体目标。</w:t>
      </w:r>
      <w:r>
        <w:rPr>
          <w:rFonts w:eastAsia="仿宋_GB2312"/>
          <w:color w:val="0000FF"/>
          <w:kern w:val="0"/>
          <w:sz w:val="28"/>
          <w:szCs w:val="28"/>
        </w:rPr>
        <w:br w:type="textWrapping"/>
      </w:r>
      <w:r>
        <w:rPr>
          <w:rFonts w:hint="eastAsia" w:eastAsia="仿宋_GB2312"/>
          <w:kern w:val="0"/>
          <w:sz w:val="28"/>
          <w:szCs w:val="28"/>
          <w:lang w:val="en-US" w:eastAsia="zh-CN"/>
        </w:rPr>
        <w:t xml:space="preserve">    </w:t>
      </w:r>
      <w:r>
        <w:rPr>
          <w:rFonts w:eastAsia="仿宋_GB2312"/>
          <w:kern w:val="0"/>
          <w:sz w:val="28"/>
          <w:szCs w:val="28"/>
        </w:rPr>
        <w:t>1、</w:t>
      </w:r>
      <w:r>
        <w:rPr>
          <w:rFonts w:hint="eastAsia" w:eastAsia="仿宋_GB2312"/>
          <w:kern w:val="0"/>
          <w:sz w:val="28"/>
          <w:szCs w:val="28"/>
          <w:lang w:val="en-US" w:eastAsia="zh-CN"/>
        </w:rPr>
        <w:t>合作研究课题</w:t>
      </w:r>
      <w:r>
        <w:rPr>
          <w:rFonts w:eastAsia="仿宋_GB2312"/>
          <w:kern w:val="0"/>
          <w:sz w:val="28"/>
          <w:szCs w:val="28"/>
        </w:rPr>
        <w:t>申请对象</w:t>
      </w:r>
    </w:p>
    <w:p w14:paraId="2ED6A287">
      <w:pPr>
        <w:keepNext w:val="0"/>
        <w:keepLines w:val="0"/>
        <w:pageBreakBefore w:val="0"/>
        <w:kinsoku/>
        <w:wordWrap/>
        <w:overflowPunct/>
        <w:topLinePunct w:val="0"/>
        <w:autoSpaceDE/>
        <w:autoSpaceDN/>
        <w:bidi w:val="0"/>
        <w:adjustRightInd w:val="0"/>
        <w:snapToGrid w:val="0"/>
        <w:spacing w:line="360" w:lineRule="auto"/>
        <w:ind w:firstLine="560" w:firstLineChars="200"/>
        <w:textAlignment w:val="auto"/>
        <w:rPr>
          <w:rFonts w:eastAsia="仿宋_GB2312"/>
          <w:kern w:val="0"/>
          <w:sz w:val="28"/>
          <w:szCs w:val="28"/>
        </w:rPr>
      </w:pPr>
      <w:r>
        <w:rPr>
          <w:rFonts w:eastAsia="仿宋_GB2312"/>
          <w:kern w:val="0"/>
          <w:sz w:val="28"/>
          <w:szCs w:val="28"/>
        </w:rPr>
        <w:t>课题申请者一般应具有高级专业技术职称或具有博士学位，在与本实验室研究方向的相关领域取得一定的科研成果，所申请的课题已具备相应的前期研究工作基础。</w:t>
      </w:r>
    </w:p>
    <w:p w14:paraId="040ADD3F">
      <w:pPr>
        <w:keepNext w:val="0"/>
        <w:keepLines w:val="0"/>
        <w:pageBreakBefore w:val="0"/>
        <w:kinsoku/>
        <w:wordWrap/>
        <w:overflowPunct/>
        <w:topLinePunct w:val="0"/>
        <w:autoSpaceDE/>
        <w:autoSpaceDN/>
        <w:bidi w:val="0"/>
        <w:adjustRightInd w:val="0"/>
        <w:snapToGrid w:val="0"/>
        <w:spacing w:line="360" w:lineRule="auto"/>
        <w:ind w:firstLine="560" w:firstLineChars="200"/>
        <w:textAlignment w:val="auto"/>
        <w:rPr>
          <w:rFonts w:eastAsia="仿宋_GB2312"/>
          <w:kern w:val="0"/>
          <w:sz w:val="28"/>
          <w:szCs w:val="28"/>
        </w:rPr>
      </w:pPr>
      <w:r>
        <w:rPr>
          <w:rFonts w:eastAsia="仿宋_GB2312"/>
          <w:kern w:val="0"/>
          <w:sz w:val="28"/>
          <w:szCs w:val="28"/>
        </w:rPr>
        <w:t>申请人不具有高级专业技术职务或博士学位，须有两名具有高级专业技术职务的同行专家书面推荐，申请人申报的课题须经所在单位同意并签章。</w:t>
      </w:r>
    </w:p>
    <w:p w14:paraId="06D40436">
      <w:pPr>
        <w:keepNext w:val="0"/>
        <w:keepLines w:val="0"/>
        <w:pageBreakBefore w:val="0"/>
        <w:kinsoku/>
        <w:wordWrap/>
        <w:overflowPunct/>
        <w:topLinePunct w:val="0"/>
        <w:autoSpaceDE/>
        <w:autoSpaceDN/>
        <w:bidi w:val="0"/>
        <w:adjustRightInd w:val="0"/>
        <w:snapToGrid w:val="0"/>
        <w:spacing w:line="360" w:lineRule="auto"/>
        <w:ind w:firstLine="560" w:firstLineChars="200"/>
        <w:textAlignment w:val="auto"/>
        <w:rPr>
          <w:rFonts w:eastAsia="仿宋_GB2312"/>
          <w:kern w:val="0"/>
          <w:sz w:val="28"/>
          <w:szCs w:val="28"/>
        </w:rPr>
      </w:pPr>
      <w:r>
        <w:rPr>
          <w:rFonts w:eastAsia="仿宋_GB2312"/>
          <w:kern w:val="0"/>
          <w:sz w:val="28"/>
          <w:szCs w:val="28"/>
        </w:rPr>
        <w:t>2、</w:t>
      </w:r>
      <w:r>
        <w:rPr>
          <w:rFonts w:hint="eastAsia" w:eastAsia="仿宋_GB2312"/>
          <w:kern w:val="0"/>
          <w:sz w:val="28"/>
          <w:szCs w:val="28"/>
          <w:lang w:val="en-US" w:eastAsia="zh-CN"/>
        </w:rPr>
        <w:t>合作研究课题</w:t>
      </w:r>
      <w:r>
        <w:rPr>
          <w:rFonts w:eastAsia="仿宋_GB2312"/>
          <w:kern w:val="0"/>
          <w:sz w:val="28"/>
          <w:szCs w:val="28"/>
        </w:rPr>
        <w:t>说明</w:t>
      </w:r>
    </w:p>
    <w:p w14:paraId="4E96477A">
      <w:pPr>
        <w:keepNext w:val="0"/>
        <w:keepLines w:val="0"/>
        <w:pageBreakBefore w:val="0"/>
        <w:kinsoku/>
        <w:wordWrap/>
        <w:overflowPunct/>
        <w:topLinePunct w:val="0"/>
        <w:autoSpaceDE/>
        <w:autoSpaceDN/>
        <w:bidi w:val="0"/>
        <w:adjustRightInd w:val="0"/>
        <w:snapToGrid w:val="0"/>
        <w:spacing w:line="360" w:lineRule="auto"/>
        <w:ind w:firstLine="560" w:firstLineChars="200"/>
        <w:textAlignment w:val="auto"/>
        <w:rPr>
          <w:rFonts w:eastAsia="仿宋_GB2312"/>
          <w:kern w:val="0"/>
          <w:sz w:val="28"/>
          <w:szCs w:val="28"/>
        </w:rPr>
      </w:pPr>
      <w:r>
        <w:rPr>
          <w:rFonts w:eastAsia="仿宋_GB2312"/>
          <w:kern w:val="0"/>
          <w:sz w:val="28"/>
          <w:szCs w:val="28"/>
        </w:rPr>
        <w:t>(1)</w:t>
      </w:r>
      <w:r>
        <w:rPr>
          <w:rFonts w:hint="eastAsia" w:eastAsia="仿宋_GB2312"/>
          <w:kern w:val="0"/>
          <w:sz w:val="28"/>
          <w:szCs w:val="28"/>
          <w:lang w:eastAsia="zh-CN"/>
        </w:rPr>
        <w:t>合作研究课题</w:t>
      </w:r>
      <w:r>
        <w:rPr>
          <w:rFonts w:eastAsia="仿宋_GB2312"/>
          <w:kern w:val="0"/>
          <w:sz w:val="28"/>
          <w:szCs w:val="28"/>
        </w:rPr>
        <w:t>主要资助方向参见本指南附表。</w:t>
      </w:r>
    </w:p>
    <w:p w14:paraId="56FAFE43">
      <w:pPr>
        <w:keepNext w:val="0"/>
        <w:keepLines w:val="0"/>
        <w:pageBreakBefore w:val="0"/>
        <w:kinsoku/>
        <w:wordWrap/>
        <w:overflowPunct/>
        <w:topLinePunct w:val="0"/>
        <w:autoSpaceDE/>
        <w:autoSpaceDN/>
        <w:bidi w:val="0"/>
        <w:adjustRightInd w:val="0"/>
        <w:snapToGrid w:val="0"/>
        <w:spacing w:line="360" w:lineRule="auto"/>
        <w:ind w:firstLine="560" w:firstLineChars="200"/>
        <w:textAlignment w:val="auto"/>
        <w:rPr>
          <w:rFonts w:eastAsia="仿宋_GB2312"/>
          <w:kern w:val="0"/>
          <w:sz w:val="28"/>
          <w:szCs w:val="28"/>
        </w:rPr>
      </w:pPr>
      <w:r>
        <w:rPr>
          <w:rFonts w:eastAsia="仿宋_GB2312"/>
          <w:kern w:val="0"/>
          <w:sz w:val="28"/>
          <w:szCs w:val="28"/>
        </w:rPr>
        <w:t>(2)本年度每项目课题研究期限一般不超过</w:t>
      </w:r>
      <w:r>
        <w:rPr>
          <w:rFonts w:hint="eastAsia" w:eastAsia="仿宋_GB2312"/>
          <w:kern w:val="0"/>
          <w:sz w:val="28"/>
          <w:szCs w:val="28"/>
        </w:rPr>
        <w:t>两</w:t>
      </w:r>
      <w:r>
        <w:rPr>
          <w:rFonts w:eastAsia="仿宋_GB2312"/>
          <w:kern w:val="0"/>
          <w:sz w:val="28"/>
          <w:szCs w:val="28"/>
        </w:rPr>
        <w:t>年。</w:t>
      </w:r>
    </w:p>
    <w:p w14:paraId="2D456C1C">
      <w:pPr>
        <w:keepNext w:val="0"/>
        <w:keepLines w:val="0"/>
        <w:pageBreakBefore w:val="0"/>
        <w:kinsoku/>
        <w:wordWrap/>
        <w:overflowPunct/>
        <w:topLinePunct w:val="0"/>
        <w:autoSpaceDE/>
        <w:autoSpaceDN/>
        <w:bidi w:val="0"/>
        <w:adjustRightInd w:val="0"/>
        <w:snapToGrid w:val="0"/>
        <w:spacing w:line="360" w:lineRule="auto"/>
        <w:ind w:firstLine="560" w:firstLineChars="200"/>
        <w:textAlignment w:val="auto"/>
        <w:rPr>
          <w:rFonts w:eastAsia="仿宋_GB2312"/>
          <w:kern w:val="0"/>
          <w:sz w:val="28"/>
          <w:szCs w:val="28"/>
        </w:rPr>
      </w:pPr>
      <w:r>
        <w:rPr>
          <w:rFonts w:eastAsia="仿宋_GB2312"/>
          <w:kern w:val="0"/>
          <w:sz w:val="28"/>
          <w:szCs w:val="28"/>
        </w:rPr>
        <w:t>(</w:t>
      </w:r>
      <w:r>
        <w:rPr>
          <w:rFonts w:hint="eastAsia" w:eastAsia="仿宋_GB2312"/>
          <w:kern w:val="0"/>
          <w:sz w:val="28"/>
          <w:szCs w:val="28"/>
          <w:lang w:val="en-US" w:eastAsia="zh-CN"/>
        </w:rPr>
        <w:t>3</w:t>
      </w:r>
      <w:r>
        <w:rPr>
          <w:rFonts w:eastAsia="仿宋_GB2312"/>
          <w:kern w:val="0"/>
          <w:sz w:val="28"/>
          <w:szCs w:val="28"/>
        </w:rPr>
        <w:t>)申请人每半年提交执行情况报告，开展工作满一年，提交研究工作总结，内容包括年度进展情况报告，成果和论著的书面材料及下一阶段研究计划。</w:t>
      </w:r>
      <w:r>
        <w:rPr>
          <w:rFonts w:hint="eastAsia" w:eastAsia="仿宋_GB2312"/>
          <w:kern w:val="0"/>
          <w:sz w:val="28"/>
          <w:szCs w:val="28"/>
          <w:lang w:eastAsia="zh-CN"/>
        </w:rPr>
        <w:t>合作研究课题</w:t>
      </w:r>
      <w:r>
        <w:rPr>
          <w:rFonts w:eastAsia="仿宋_GB2312"/>
          <w:kern w:val="0"/>
          <w:sz w:val="28"/>
          <w:szCs w:val="28"/>
        </w:rPr>
        <w:t>结束后，应于两个月内结题，提交结题报告。如发表论文、申请专利，提供相关材料复印件。必要时</w:t>
      </w:r>
      <w:r>
        <w:rPr>
          <w:rFonts w:hint="eastAsia" w:eastAsia="仿宋_GB2312"/>
          <w:kern w:val="0"/>
          <w:sz w:val="28"/>
          <w:szCs w:val="28"/>
          <w:lang w:val="en-US" w:eastAsia="zh-CN"/>
        </w:rPr>
        <w:t>需赴石科院</w:t>
      </w:r>
      <w:r>
        <w:rPr>
          <w:rFonts w:eastAsia="仿宋_GB2312"/>
          <w:kern w:val="0"/>
          <w:sz w:val="28"/>
          <w:szCs w:val="28"/>
        </w:rPr>
        <w:t>做结题/学术报告</w:t>
      </w:r>
      <w:r>
        <w:rPr>
          <w:rFonts w:hint="eastAsia" w:eastAsia="仿宋_GB2312"/>
          <w:kern w:val="0"/>
          <w:sz w:val="28"/>
          <w:szCs w:val="28"/>
          <w:lang w:eastAsia="zh-CN"/>
        </w:rPr>
        <w:t>，</w:t>
      </w:r>
      <w:r>
        <w:rPr>
          <w:rFonts w:hint="eastAsia" w:eastAsia="仿宋_GB2312"/>
          <w:kern w:val="0"/>
          <w:sz w:val="28"/>
          <w:szCs w:val="28"/>
          <w:lang w:val="en-US" w:eastAsia="zh-CN"/>
        </w:rPr>
        <w:t>石科院</w:t>
      </w:r>
      <w:r>
        <w:rPr>
          <w:rFonts w:eastAsia="仿宋_GB2312"/>
          <w:kern w:val="0"/>
          <w:sz w:val="28"/>
          <w:szCs w:val="28"/>
        </w:rPr>
        <w:t>将根据进展情况有权终止资助进展不好的研究课题。</w:t>
      </w:r>
    </w:p>
    <w:p w14:paraId="531187C8">
      <w:pPr>
        <w:keepNext w:val="0"/>
        <w:keepLines w:val="0"/>
        <w:pageBreakBefore w:val="0"/>
        <w:kinsoku/>
        <w:wordWrap/>
        <w:overflowPunct/>
        <w:topLinePunct w:val="0"/>
        <w:autoSpaceDE/>
        <w:autoSpaceDN/>
        <w:bidi w:val="0"/>
        <w:adjustRightInd w:val="0"/>
        <w:snapToGrid w:val="0"/>
        <w:spacing w:line="360" w:lineRule="auto"/>
        <w:ind w:firstLine="560" w:firstLineChars="200"/>
        <w:textAlignment w:val="auto"/>
        <w:rPr>
          <w:rFonts w:eastAsia="仿宋_GB2312"/>
          <w:kern w:val="0"/>
          <w:sz w:val="28"/>
          <w:szCs w:val="28"/>
        </w:rPr>
      </w:pPr>
      <w:r>
        <w:rPr>
          <w:rFonts w:eastAsia="仿宋_GB2312"/>
          <w:kern w:val="0"/>
          <w:sz w:val="28"/>
          <w:szCs w:val="28"/>
        </w:rPr>
        <w:t>(</w:t>
      </w:r>
      <w:r>
        <w:rPr>
          <w:rFonts w:hint="eastAsia" w:eastAsia="仿宋_GB2312"/>
          <w:kern w:val="0"/>
          <w:sz w:val="28"/>
          <w:szCs w:val="28"/>
          <w:lang w:val="en-US" w:eastAsia="zh-CN"/>
        </w:rPr>
        <w:t>4</w:t>
      </w:r>
      <w:r>
        <w:rPr>
          <w:rFonts w:eastAsia="仿宋_GB2312"/>
          <w:kern w:val="0"/>
          <w:sz w:val="28"/>
          <w:szCs w:val="28"/>
        </w:rPr>
        <w:t>)由</w:t>
      </w:r>
      <w:r>
        <w:rPr>
          <w:rFonts w:hint="eastAsia" w:eastAsia="仿宋_GB2312"/>
          <w:kern w:val="0"/>
          <w:sz w:val="28"/>
          <w:szCs w:val="28"/>
          <w:lang w:eastAsia="zh-CN"/>
        </w:rPr>
        <w:t>合作研究课题</w:t>
      </w:r>
      <w:r>
        <w:rPr>
          <w:rFonts w:eastAsia="仿宋_GB2312"/>
          <w:kern w:val="0"/>
          <w:sz w:val="28"/>
          <w:szCs w:val="28"/>
        </w:rPr>
        <w:t>资助发表的研究论文、学位论文应注明第一资助单位</w:t>
      </w:r>
      <w:r>
        <w:rPr>
          <w:rFonts w:hint="eastAsia" w:eastAsia="仿宋_GB2312"/>
          <w:kern w:val="0"/>
          <w:sz w:val="28"/>
          <w:szCs w:val="28"/>
        </w:rPr>
        <w:t>“</w:t>
      </w:r>
      <w:r>
        <w:rPr>
          <w:rFonts w:hint="eastAsia" w:eastAsia="仿宋_GB2312"/>
          <w:kern w:val="0"/>
          <w:sz w:val="28"/>
          <w:szCs w:val="28"/>
          <w:lang w:eastAsia="zh-CN"/>
        </w:rPr>
        <w:t>中石化</w:t>
      </w:r>
      <w:r>
        <w:rPr>
          <w:rFonts w:eastAsia="仿宋_GB2312"/>
          <w:kern w:val="0"/>
          <w:sz w:val="28"/>
          <w:szCs w:val="28"/>
        </w:rPr>
        <w:t>石油化工科学研究院</w:t>
      </w:r>
      <w:r>
        <w:rPr>
          <w:rFonts w:hint="eastAsia" w:eastAsia="仿宋_GB2312"/>
          <w:kern w:val="0"/>
          <w:sz w:val="28"/>
          <w:szCs w:val="28"/>
          <w:lang w:eastAsia="zh-CN"/>
        </w:rPr>
        <w:t>有限公司</w:t>
      </w:r>
      <w:r>
        <w:rPr>
          <w:rFonts w:hint="eastAsia" w:eastAsia="仿宋_GB2312"/>
          <w:kern w:val="0"/>
          <w:sz w:val="28"/>
          <w:szCs w:val="28"/>
          <w:lang w:val="en-US" w:eastAsia="zh-CN"/>
        </w:rPr>
        <w:t>合作研究课题</w:t>
      </w:r>
      <w:r>
        <w:rPr>
          <w:rFonts w:eastAsia="仿宋_GB2312"/>
          <w:kern w:val="0"/>
          <w:sz w:val="28"/>
          <w:szCs w:val="28"/>
        </w:rPr>
        <w:t>资助</w:t>
      </w:r>
      <w:r>
        <w:rPr>
          <w:rFonts w:hint="eastAsia" w:eastAsia="仿宋_GB2312"/>
          <w:kern w:val="0"/>
          <w:sz w:val="28"/>
          <w:szCs w:val="28"/>
          <w:lang w:eastAsia="zh-CN"/>
        </w:rPr>
        <w:t>”（</w:t>
      </w:r>
      <w:r>
        <w:rPr>
          <w:rFonts w:eastAsia="仿宋_GB2312"/>
          <w:kern w:val="0"/>
          <w:sz w:val="28"/>
          <w:szCs w:val="28"/>
        </w:rPr>
        <w:t xml:space="preserve">Supported by </w:t>
      </w:r>
      <w:r>
        <w:rPr>
          <w:rFonts w:hint="eastAsia" w:eastAsia="仿宋_GB2312"/>
          <w:kern w:val="0"/>
          <w:sz w:val="28"/>
          <w:szCs w:val="28"/>
          <w:lang w:val="en-US" w:eastAsia="zh-CN"/>
        </w:rPr>
        <w:t>Sinopec Research Institute of Petroleum Processing</w:t>
      </w:r>
      <w:r>
        <w:rPr>
          <w:rFonts w:hint="eastAsia" w:eastAsia="仿宋_GB2312"/>
          <w:kern w:val="0"/>
          <w:sz w:val="28"/>
          <w:szCs w:val="28"/>
          <w:lang w:eastAsia="zh-CN"/>
        </w:rPr>
        <w:t>）</w:t>
      </w:r>
      <w:r>
        <w:rPr>
          <w:rFonts w:eastAsia="仿宋_GB2312"/>
          <w:kern w:val="0"/>
          <w:sz w:val="28"/>
          <w:szCs w:val="28"/>
        </w:rPr>
        <w:t>。</w:t>
      </w:r>
    </w:p>
    <w:p w14:paraId="5381B543">
      <w:pPr>
        <w:keepNext w:val="0"/>
        <w:keepLines w:val="0"/>
        <w:pageBreakBefore w:val="0"/>
        <w:kinsoku/>
        <w:wordWrap/>
        <w:overflowPunct/>
        <w:topLinePunct w:val="0"/>
        <w:autoSpaceDE/>
        <w:autoSpaceDN/>
        <w:bidi w:val="0"/>
        <w:adjustRightInd w:val="0"/>
        <w:snapToGrid w:val="0"/>
        <w:spacing w:line="360" w:lineRule="auto"/>
        <w:ind w:firstLine="560" w:firstLineChars="200"/>
        <w:textAlignment w:val="auto"/>
        <w:rPr>
          <w:rFonts w:eastAsia="仿宋_GB2312"/>
          <w:kern w:val="0"/>
          <w:sz w:val="28"/>
          <w:szCs w:val="28"/>
        </w:rPr>
      </w:pPr>
      <w:r>
        <w:rPr>
          <w:rFonts w:eastAsia="仿宋_GB2312"/>
          <w:kern w:val="0"/>
          <w:sz w:val="28"/>
          <w:szCs w:val="28"/>
        </w:rPr>
        <w:t>3、</w:t>
      </w:r>
      <w:r>
        <w:rPr>
          <w:rFonts w:hint="eastAsia" w:eastAsia="仿宋_GB2312"/>
          <w:kern w:val="0"/>
          <w:sz w:val="28"/>
          <w:szCs w:val="28"/>
          <w:lang w:val="en-US" w:eastAsia="zh-CN"/>
        </w:rPr>
        <w:t>合作研究课题</w:t>
      </w:r>
      <w:r>
        <w:rPr>
          <w:rFonts w:eastAsia="仿宋_GB2312"/>
          <w:kern w:val="0"/>
          <w:sz w:val="28"/>
          <w:szCs w:val="28"/>
        </w:rPr>
        <w:t>申请程序</w:t>
      </w:r>
      <w:r>
        <w:rPr>
          <w:rFonts w:eastAsia="仿宋_GB2312"/>
          <w:kern w:val="0"/>
          <w:sz w:val="28"/>
          <w:szCs w:val="28"/>
        </w:rPr>
        <w:br w:type="textWrapping"/>
      </w:r>
      <w:r>
        <w:rPr>
          <w:rFonts w:eastAsia="仿宋_GB2312"/>
          <w:kern w:val="0"/>
          <w:sz w:val="28"/>
          <w:szCs w:val="28"/>
        </w:rPr>
        <w:t xml:space="preserve"> </w:t>
      </w:r>
      <w:r>
        <w:rPr>
          <w:rFonts w:hint="eastAsia" w:eastAsia="仿宋_GB2312"/>
          <w:kern w:val="0"/>
          <w:sz w:val="28"/>
          <w:szCs w:val="28"/>
          <w:lang w:val="en-US" w:eastAsia="zh-CN"/>
        </w:rPr>
        <w:t xml:space="preserve">   </w:t>
      </w:r>
      <w:r>
        <w:rPr>
          <w:rFonts w:eastAsia="仿宋_GB2312"/>
          <w:kern w:val="0"/>
          <w:sz w:val="28"/>
          <w:szCs w:val="28"/>
        </w:rPr>
        <w:t>(1)申请人根据实验室</w:t>
      </w:r>
      <w:r>
        <w:rPr>
          <w:rFonts w:hint="eastAsia" w:eastAsia="仿宋_GB2312"/>
          <w:kern w:val="0"/>
          <w:sz w:val="28"/>
          <w:szCs w:val="28"/>
          <w:lang w:val="en-US" w:eastAsia="zh-CN"/>
        </w:rPr>
        <w:t>合作研究课题</w:t>
      </w:r>
      <w:r>
        <w:rPr>
          <w:rFonts w:eastAsia="仿宋_GB2312"/>
          <w:kern w:val="0"/>
          <w:sz w:val="28"/>
          <w:szCs w:val="28"/>
        </w:rPr>
        <w:t>的主要资助方向(见附表)填写</w:t>
      </w:r>
      <w:r>
        <w:rPr>
          <w:rFonts w:hint="eastAsia" w:eastAsia="仿宋_GB2312"/>
          <w:kern w:val="0"/>
          <w:sz w:val="28"/>
          <w:szCs w:val="28"/>
          <w:lang w:eastAsia="zh-CN"/>
        </w:rPr>
        <w:t>《</w:t>
      </w:r>
      <w:r>
        <w:rPr>
          <w:rFonts w:hint="eastAsia" w:eastAsia="仿宋_GB2312"/>
          <w:kern w:val="0"/>
          <w:sz w:val="28"/>
          <w:szCs w:val="28"/>
          <w:lang w:val="en-US" w:eastAsia="zh-CN"/>
        </w:rPr>
        <w:t>开题报告</w:t>
      </w:r>
      <w:r>
        <w:rPr>
          <w:rFonts w:hint="eastAsia" w:eastAsia="仿宋_GB2312"/>
          <w:kern w:val="0"/>
          <w:sz w:val="28"/>
          <w:szCs w:val="28"/>
          <w:lang w:eastAsia="zh-CN"/>
        </w:rPr>
        <w:t>》</w:t>
      </w:r>
      <w:r>
        <w:rPr>
          <w:rFonts w:hint="eastAsia" w:eastAsia="仿宋_GB2312"/>
          <w:kern w:val="0"/>
          <w:sz w:val="28"/>
          <w:szCs w:val="28"/>
          <w:lang w:val="en-US" w:eastAsia="zh-CN"/>
        </w:rPr>
        <w:t>和《文献检索分析报告》</w:t>
      </w:r>
      <w:r>
        <w:rPr>
          <w:rFonts w:eastAsia="仿宋_GB2312"/>
          <w:kern w:val="0"/>
          <w:sz w:val="28"/>
          <w:szCs w:val="28"/>
        </w:rPr>
        <w:t>一式</w:t>
      </w:r>
      <w:r>
        <w:rPr>
          <w:rFonts w:hint="eastAsia" w:eastAsia="仿宋_GB2312"/>
          <w:kern w:val="0"/>
          <w:sz w:val="28"/>
          <w:szCs w:val="28"/>
        </w:rPr>
        <w:t>两</w:t>
      </w:r>
      <w:r>
        <w:rPr>
          <w:rFonts w:eastAsia="仿宋_GB2312"/>
          <w:kern w:val="0"/>
          <w:sz w:val="28"/>
          <w:szCs w:val="28"/>
        </w:rPr>
        <w:t>份。经所在单位盖章推荐，</w:t>
      </w:r>
      <w:r>
        <w:rPr>
          <w:rFonts w:hint="eastAsia" w:eastAsia="仿宋_GB2312"/>
          <w:kern w:val="0"/>
          <w:sz w:val="28"/>
          <w:szCs w:val="28"/>
          <w:lang w:val="en-US" w:eastAsia="zh-CN"/>
        </w:rPr>
        <w:t>向石科院</w:t>
      </w:r>
      <w:r>
        <w:rPr>
          <w:rFonts w:eastAsia="仿宋_GB2312"/>
          <w:kern w:val="0"/>
          <w:sz w:val="28"/>
          <w:szCs w:val="28"/>
        </w:rPr>
        <w:t>提交电子版</w:t>
      </w:r>
      <w:r>
        <w:rPr>
          <w:rFonts w:hint="eastAsia" w:eastAsia="仿宋_GB2312"/>
          <w:kern w:val="0"/>
          <w:sz w:val="28"/>
          <w:szCs w:val="28"/>
          <w:lang w:val="en-US" w:eastAsia="zh-CN"/>
        </w:rPr>
        <w:t>报告</w:t>
      </w:r>
      <w:r>
        <w:rPr>
          <w:rFonts w:eastAsia="仿宋_GB2312"/>
          <w:kern w:val="0"/>
          <w:sz w:val="28"/>
          <w:szCs w:val="28"/>
        </w:rPr>
        <w:t>。</w:t>
      </w:r>
      <w:r>
        <w:rPr>
          <w:rFonts w:hint="eastAsia" w:eastAsia="仿宋_GB2312"/>
          <w:kern w:val="0"/>
          <w:sz w:val="28"/>
          <w:szCs w:val="28"/>
          <w:lang w:val="en-US" w:eastAsia="zh-CN"/>
        </w:rPr>
        <w:t>此次合作研究课题</w:t>
      </w:r>
      <w:r>
        <w:rPr>
          <w:rFonts w:eastAsia="仿宋_GB2312"/>
          <w:kern w:val="0"/>
          <w:sz w:val="28"/>
          <w:szCs w:val="28"/>
        </w:rPr>
        <w:t>申请截止日期为202</w:t>
      </w:r>
      <w:r>
        <w:rPr>
          <w:rFonts w:hint="eastAsia" w:eastAsia="仿宋_GB2312"/>
          <w:kern w:val="0"/>
          <w:sz w:val="28"/>
          <w:szCs w:val="28"/>
          <w:lang w:val="en-US" w:eastAsia="zh-CN"/>
        </w:rPr>
        <w:t>6</w:t>
      </w:r>
      <w:r>
        <w:rPr>
          <w:rFonts w:eastAsia="仿宋_GB2312"/>
          <w:kern w:val="0"/>
          <w:sz w:val="28"/>
          <w:szCs w:val="28"/>
        </w:rPr>
        <w:t>年</w:t>
      </w:r>
      <w:r>
        <w:rPr>
          <w:rFonts w:hint="eastAsia" w:eastAsia="仿宋_GB2312"/>
          <w:kern w:val="0"/>
          <w:sz w:val="28"/>
          <w:szCs w:val="28"/>
          <w:lang w:val="en-US" w:eastAsia="zh-CN"/>
        </w:rPr>
        <w:t>1</w:t>
      </w:r>
      <w:r>
        <w:rPr>
          <w:rFonts w:eastAsia="仿宋_GB2312"/>
          <w:kern w:val="0"/>
          <w:sz w:val="28"/>
          <w:szCs w:val="28"/>
        </w:rPr>
        <w:t>月</w:t>
      </w:r>
      <w:r>
        <w:rPr>
          <w:rFonts w:hint="eastAsia" w:eastAsia="仿宋_GB2312"/>
          <w:kern w:val="0"/>
          <w:sz w:val="28"/>
          <w:szCs w:val="28"/>
          <w:lang w:val="en-US" w:eastAsia="zh-CN"/>
        </w:rPr>
        <w:t>8</w:t>
      </w:r>
      <w:r>
        <w:rPr>
          <w:rFonts w:eastAsia="仿宋_GB2312"/>
          <w:kern w:val="0"/>
          <w:sz w:val="28"/>
          <w:szCs w:val="28"/>
        </w:rPr>
        <w:t>日。</w:t>
      </w:r>
      <w:r>
        <w:rPr>
          <w:rFonts w:eastAsia="仿宋_GB2312"/>
          <w:kern w:val="0"/>
          <w:sz w:val="28"/>
          <w:szCs w:val="28"/>
        </w:rPr>
        <w:br w:type="textWrapping"/>
      </w:r>
      <w:r>
        <w:rPr>
          <w:rFonts w:hint="eastAsia" w:eastAsia="仿宋_GB2312"/>
          <w:kern w:val="0"/>
          <w:sz w:val="28"/>
          <w:szCs w:val="28"/>
          <w:lang w:val="en-US" w:eastAsia="zh-CN"/>
        </w:rPr>
        <w:t xml:space="preserve">    </w:t>
      </w:r>
      <w:r>
        <w:rPr>
          <w:rFonts w:eastAsia="仿宋_GB2312"/>
          <w:kern w:val="0"/>
          <w:sz w:val="28"/>
          <w:szCs w:val="28"/>
        </w:rPr>
        <w:t>(2)</w:t>
      </w:r>
      <w:r>
        <w:rPr>
          <w:rFonts w:hint="eastAsia" w:eastAsia="仿宋_GB2312"/>
          <w:kern w:val="0"/>
          <w:sz w:val="28"/>
          <w:szCs w:val="28"/>
          <w:lang w:val="en-US" w:eastAsia="zh-CN"/>
        </w:rPr>
        <w:t>石科院将</w:t>
      </w:r>
      <w:r>
        <w:rPr>
          <w:rFonts w:eastAsia="仿宋_GB2312"/>
          <w:kern w:val="0"/>
          <w:sz w:val="28"/>
          <w:szCs w:val="28"/>
        </w:rPr>
        <w:t>组织有关专家对提交的申请书进行</w:t>
      </w:r>
      <w:r>
        <w:rPr>
          <w:rFonts w:hint="eastAsia" w:eastAsia="仿宋_GB2312"/>
          <w:kern w:val="0"/>
          <w:sz w:val="28"/>
          <w:szCs w:val="28"/>
          <w:lang w:val="en-US" w:eastAsia="zh-CN"/>
        </w:rPr>
        <w:t>初步</w:t>
      </w:r>
      <w:r>
        <w:rPr>
          <w:rFonts w:eastAsia="仿宋_GB2312"/>
          <w:kern w:val="0"/>
          <w:sz w:val="28"/>
          <w:szCs w:val="28"/>
        </w:rPr>
        <w:t>评审，</w:t>
      </w:r>
      <w:r>
        <w:rPr>
          <w:rFonts w:hint="eastAsia" w:eastAsia="仿宋_GB2312"/>
          <w:kern w:val="0"/>
          <w:sz w:val="28"/>
          <w:szCs w:val="28"/>
          <w:lang w:val="en-US" w:eastAsia="zh-CN"/>
        </w:rPr>
        <w:t>如通过初步评审，后续会通知进行会议评审，会议评审所用材料如“评审ppt模板”所示。评审后</w:t>
      </w:r>
      <w:r>
        <w:rPr>
          <w:rFonts w:eastAsia="仿宋_GB2312"/>
          <w:kern w:val="0"/>
          <w:sz w:val="28"/>
          <w:szCs w:val="28"/>
        </w:rPr>
        <w:t>确定资助项目和金额，并通知获得资助的申请人。</w:t>
      </w:r>
    </w:p>
    <w:p w14:paraId="2606ABC4">
      <w:pPr>
        <w:keepNext w:val="0"/>
        <w:keepLines w:val="0"/>
        <w:pageBreakBefore w:val="0"/>
        <w:kinsoku/>
        <w:wordWrap/>
        <w:overflowPunct/>
        <w:topLinePunct w:val="0"/>
        <w:autoSpaceDE/>
        <w:autoSpaceDN/>
        <w:bidi w:val="0"/>
        <w:adjustRightInd w:val="0"/>
        <w:snapToGrid w:val="0"/>
        <w:spacing w:line="360" w:lineRule="auto"/>
        <w:ind w:firstLine="560" w:firstLineChars="200"/>
        <w:textAlignment w:val="auto"/>
        <w:rPr>
          <w:rFonts w:eastAsia="仿宋_GB2312"/>
          <w:kern w:val="0"/>
          <w:sz w:val="28"/>
          <w:szCs w:val="28"/>
        </w:rPr>
      </w:pPr>
      <w:r>
        <w:rPr>
          <w:rFonts w:eastAsia="仿宋_GB2312"/>
          <w:kern w:val="0"/>
          <w:sz w:val="28"/>
          <w:szCs w:val="28"/>
        </w:rPr>
        <w:t>4、联系人：</w:t>
      </w:r>
    </w:p>
    <w:p w14:paraId="7849279C">
      <w:pPr>
        <w:keepNext w:val="0"/>
        <w:keepLines w:val="0"/>
        <w:pageBreakBefore w:val="0"/>
        <w:kinsoku/>
        <w:wordWrap/>
        <w:overflowPunct/>
        <w:topLinePunct w:val="0"/>
        <w:autoSpaceDE/>
        <w:autoSpaceDN/>
        <w:bidi w:val="0"/>
        <w:adjustRightInd w:val="0"/>
        <w:snapToGrid w:val="0"/>
        <w:spacing w:line="360" w:lineRule="auto"/>
        <w:ind w:firstLine="560" w:firstLineChars="200"/>
        <w:textAlignment w:val="auto"/>
        <w:rPr>
          <w:rFonts w:hint="eastAsia" w:eastAsia="仿宋_GB2312"/>
          <w:kern w:val="0"/>
          <w:sz w:val="28"/>
          <w:szCs w:val="28"/>
          <w:lang w:val="en-US" w:eastAsia="zh-CN"/>
        </w:rPr>
      </w:pPr>
      <w:r>
        <w:rPr>
          <w:rFonts w:hint="eastAsia" w:eastAsia="仿宋_GB2312"/>
          <w:kern w:val="0"/>
          <w:sz w:val="28"/>
          <w:szCs w:val="28"/>
          <w:lang w:val="en-US" w:eastAsia="zh-CN"/>
        </w:rPr>
        <w:t>韩璐</w:t>
      </w:r>
    </w:p>
    <w:p w14:paraId="618C3A9F">
      <w:pPr>
        <w:keepNext w:val="0"/>
        <w:keepLines w:val="0"/>
        <w:pageBreakBefore w:val="0"/>
        <w:kinsoku/>
        <w:wordWrap/>
        <w:overflowPunct/>
        <w:topLinePunct w:val="0"/>
        <w:autoSpaceDE/>
        <w:autoSpaceDN/>
        <w:bidi w:val="0"/>
        <w:adjustRightInd w:val="0"/>
        <w:snapToGrid w:val="0"/>
        <w:spacing w:line="360" w:lineRule="auto"/>
        <w:ind w:firstLine="560" w:firstLineChars="200"/>
        <w:textAlignment w:val="auto"/>
        <w:rPr>
          <w:rFonts w:hint="eastAsia" w:eastAsia="仿宋_GB2312"/>
          <w:kern w:val="0"/>
          <w:sz w:val="28"/>
          <w:szCs w:val="28"/>
          <w:lang w:eastAsia="zh-CN"/>
        </w:rPr>
      </w:pPr>
      <w:r>
        <w:rPr>
          <w:rFonts w:hint="eastAsia" w:eastAsia="仿宋_GB2312"/>
          <w:kern w:val="0"/>
          <w:sz w:val="28"/>
          <w:szCs w:val="28"/>
          <w:lang w:eastAsia="zh-CN"/>
        </w:rPr>
        <w:t>中石化</w:t>
      </w:r>
      <w:r>
        <w:rPr>
          <w:rFonts w:eastAsia="仿宋_GB2312"/>
          <w:kern w:val="0"/>
          <w:sz w:val="28"/>
          <w:szCs w:val="28"/>
        </w:rPr>
        <w:t>石油化工科学研究院</w:t>
      </w:r>
      <w:r>
        <w:rPr>
          <w:rFonts w:hint="eastAsia" w:eastAsia="仿宋_GB2312"/>
          <w:kern w:val="0"/>
          <w:sz w:val="28"/>
          <w:szCs w:val="28"/>
          <w:lang w:eastAsia="zh-CN"/>
        </w:rPr>
        <w:t>有限公司</w:t>
      </w:r>
    </w:p>
    <w:p w14:paraId="2550BE48">
      <w:pPr>
        <w:keepNext w:val="0"/>
        <w:keepLines w:val="0"/>
        <w:pageBreakBefore w:val="0"/>
        <w:kinsoku/>
        <w:wordWrap/>
        <w:overflowPunct/>
        <w:topLinePunct w:val="0"/>
        <w:autoSpaceDE/>
        <w:autoSpaceDN/>
        <w:bidi w:val="0"/>
        <w:adjustRightInd w:val="0"/>
        <w:snapToGrid w:val="0"/>
        <w:spacing w:line="360" w:lineRule="auto"/>
        <w:ind w:firstLine="560" w:firstLineChars="200"/>
        <w:textAlignment w:val="auto"/>
        <w:rPr>
          <w:rFonts w:hint="default" w:eastAsia="仿宋_GB2312"/>
          <w:kern w:val="0"/>
          <w:sz w:val="28"/>
          <w:szCs w:val="28"/>
          <w:lang w:val="en-US" w:eastAsia="zh-CN"/>
        </w:rPr>
      </w:pPr>
      <w:r>
        <w:rPr>
          <w:rFonts w:eastAsia="仿宋_GB2312"/>
          <w:kern w:val="0"/>
          <w:sz w:val="28"/>
          <w:szCs w:val="28"/>
        </w:rPr>
        <w:t>通信地址：北京市</w:t>
      </w:r>
      <w:r>
        <w:rPr>
          <w:rFonts w:hint="eastAsia" w:eastAsia="仿宋_GB2312"/>
          <w:kern w:val="0"/>
          <w:sz w:val="28"/>
          <w:szCs w:val="28"/>
          <w:lang w:eastAsia="zh-CN"/>
        </w:rPr>
        <w:t>海淀区学院路</w:t>
      </w:r>
      <w:r>
        <w:rPr>
          <w:rFonts w:hint="eastAsia" w:eastAsia="仿宋_GB2312"/>
          <w:kern w:val="0"/>
          <w:sz w:val="28"/>
          <w:szCs w:val="28"/>
          <w:lang w:val="en-US" w:eastAsia="zh-CN"/>
        </w:rPr>
        <w:t>18号</w:t>
      </w:r>
    </w:p>
    <w:p w14:paraId="3EE70692">
      <w:pPr>
        <w:keepNext w:val="0"/>
        <w:keepLines w:val="0"/>
        <w:pageBreakBefore w:val="0"/>
        <w:kinsoku/>
        <w:wordWrap/>
        <w:overflowPunct/>
        <w:topLinePunct w:val="0"/>
        <w:autoSpaceDE/>
        <w:autoSpaceDN/>
        <w:bidi w:val="0"/>
        <w:adjustRightInd w:val="0"/>
        <w:snapToGrid w:val="0"/>
        <w:spacing w:line="360" w:lineRule="auto"/>
        <w:ind w:left="280" w:firstLine="280" w:firstLineChars="100"/>
        <w:textAlignment w:val="auto"/>
        <w:rPr>
          <w:rFonts w:hint="default" w:eastAsia="仿宋_GB2312"/>
          <w:kern w:val="0"/>
          <w:sz w:val="28"/>
          <w:szCs w:val="28"/>
          <w:lang w:val="en-US" w:eastAsia="zh-CN"/>
        </w:rPr>
      </w:pPr>
      <w:r>
        <w:rPr>
          <w:rFonts w:eastAsia="仿宋_GB2312"/>
          <w:kern w:val="0"/>
          <w:sz w:val="28"/>
          <w:szCs w:val="28"/>
        </w:rPr>
        <w:t>邮编：10</w:t>
      </w:r>
      <w:r>
        <w:rPr>
          <w:rFonts w:hint="eastAsia" w:eastAsia="仿宋_GB2312"/>
          <w:kern w:val="0"/>
          <w:sz w:val="28"/>
          <w:szCs w:val="28"/>
          <w:lang w:val="en-US" w:eastAsia="zh-CN"/>
        </w:rPr>
        <w:t>0083</w:t>
      </w:r>
    </w:p>
    <w:p w14:paraId="4E035C11">
      <w:pPr>
        <w:keepNext w:val="0"/>
        <w:keepLines w:val="0"/>
        <w:pageBreakBefore w:val="0"/>
        <w:kinsoku/>
        <w:wordWrap/>
        <w:overflowPunct/>
        <w:topLinePunct w:val="0"/>
        <w:autoSpaceDE/>
        <w:autoSpaceDN/>
        <w:bidi w:val="0"/>
        <w:adjustRightInd w:val="0"/>
        <w:snapToGrid w:val="0"/>
        <w:spacing w:line="360" w:lineRule="auto"/>
        <w:ind w:left="420" w:firstLine="140"/>
        <w:textAlignment w:val="auto"/>
        <w:rPr>
          <w:rFonts w:hint="default" w:eastAsia="仿宋_GB2312"/>
          <w:kern w:val="0"/>
          <w:sz w:val="28"/>
          <w:szCs w:val="28"/>
          <w:lang w:val="en-US" w:eastAsia="zh-CN"/>
        </w:rPr>
      </w:pPr>
      <w:r>
        <w:rPr>
          <w:rFonts w:hint="eastAsia" w:eastAsia="仿宋_GB2312"/>
          <w:kern w:val="0"/>
          <w:sz w:val="28"/>
          <w:szCs w:val="28"/>
        </w:rPr>
        <w:t>电话：</w:t>
      </w:r>
      <w:r>
        <w:rPr>
          <w:rFonts w:eastAsia="仿宋_GB2312"/>
          <w:kern w:val="0"/>
          <w:sz w:val="28"/>
          <w:szCs w:val="28"/>
        </w:rPr>
        <w:t>010-823</w:t>
      </w:r>
      <w:r>
        <w:rPr>
          <w:rFonts w:hint="eastAsia" w:eastAsia="仿宋_GB2312"/>
          <w:kern w:val="0"/>
          <w:sz w:val="28"/>
          <w:szCs w:val="28"/>
          <w:lang w:val="en-US" w:eastAsia="zh-CN"/>
        </w:rPr>
        <w:t>68761</w:t>
      </w:r>
    </w:p>
    <w:p w14:paraId="490FBE84">
      <w:pPr>
        <w:keepNext w:val="0"/>
        <w:keepLines w:val="0"/>
        <w:pageBreakBefore w:val="0"/>
        <w:kinsoku/>
        <w:wordWrap/>
        <w:overflowPunct/>
        <w:topLinePunct w:val="0"/>
        <w:autoSpaceDE/>
        <w:autoSpaceDN/>
        <w:bidi w:val="0"/>
        <w:adjustRightInd w:val="0"/>
        <w:snapToGrid w:val="0"/>
        <w:spacing w:line="360" w:lineRule="auto"/>
        <w:ind w:left="420" w:firstLine="140"/>
        <w:textAlignment w:val="auto"/>
        <w:rPr>
          <w:rFonts w:hint="default" w:eastAsia="仿宋_GB2312"/>
          <w:kern w:val="0"/>
          <w:sz w:val="28"/>
          <w:szCs w:val="28"/>
          <w:lang w:val="en-US" w:eastAsia="zh-CN"/>
        </w:rPr>
      </w:pPr>
      <w:r>
        <w:rPr>
          <w:rFonts w:hint="eastAsia" w:eastAsia="仿宋_GB2312"/>
          <w:kern w:val="0"/>
          <w:sz w:val="28"/>
          <w:szCs w:val="28"/>
        </w:rPr>
        <w:t>手机</w:t>
      </w:r>
      <w:r>
        <w:rPr>
          <w:rFonts w:eastAsia="仿宋_GB2312"/>
          <w:kern w:val="0"/>
          <w:sz w:val="28"/>
          <w:szCs w:val="28"/>
        </w:rPr>
        <w:t>：</w:t>
      </w:r>
      <w:r>
        <w:rPr>
          <w:rFonts w:hint="eastAsia" w:eastAsia="仿宋_GB2312"/>
          <w:kern w:val="0"/>
          <w:sz w:val="28"/>
          <w:szCs w:val="28"/>
          <w:lang w:val="en-US" w:eastAsia="zh-CN"/>
        </w:rPr>
        <w:t>18910492332</w:t>
      </w:r>
    </w:p>
    <w:p w14:paraId="166BC859">
      <w:pPr>
        <w:keepNext w:val="0"/>
        <w:keepLines w:val="0"/>
        <w:pageBreakBefore w:val="0"/>
        <w:widowControl/>
        <w:kinsoku/>
        <w:wordWrap/>
        <w:overflowPunct/>
        <w:topLinePunct w:val="0"/>
        <w:autoSpaceDE/>
        <w:autoSpaceDN/>
        <w:bidi w:val="0"/>
        <w:adjustRightInd w:val="0"/>
        <w:snapToGrid w:val="0"/>
        <w:spacing w:line="360" w:lineRule="auto"/>
        <w:ind w:firstLine="560" w:firstLineChars="200"/>
        <w:jc w:val="left"/>
        <w:textAlignment w:val="auto"/>
        <w:rPr>
          <w:rFonts w:eastAsia="仿宋_GB2312"/>
          <w:sz w:val="28"/>
          <w:szCs w:val="28"/>
          <w:u w:val="single"/>
        </w:rPr>
      </w:pPr>
      <w:r>
        <w:rPr>
          <w:rFonts w:eastAsia="仿宋_GB2312"/>
          <w:kern w:val="0"/>
          <w:sz w:val="28"/>
          <w:szCs w:val="28"/>
        </w:rPr>
        <w:t>电子邮件：</w:t>
      </w:r>
      <w:r>
        <w:rPr>
          <w:rFonts w:hint="eastAsia" w:eastAsia="仿宋_GB2312"/>
          <w:kern w:val="0"/>
          <w:sz w:val="28"/>
          <w:szCs w:val="28"/>
          <w:lang w:val="en-US" w:eastAsia="zh-CN"/>
        </w:rPr>
        <w:t>hanlu</w:t>
      </w:r>
      <w:r>
        <w:rPr>
          <w:rFonts w:eastAsia="仿宋_GB2312"/>
          <w:kern w:val="0"/>
          <w:sz w:val="28"/>
          <w:szCs w:val="28"/>
        </w:rPr>
        <w:t>.ripp@sinopec.com</w:t>
      </w:r>
    </w:p>
    <w:p w14:paraId="59F8B5CC">
      <w:pPr>
        <w:keepNext w:val="0"/>
        <w:keepLines w:val="0"/>
        <w:pageBreakBefore w:val="0"/>
        <w:kinsoku/>
        <w:wordWrap/>
        <w:overflowPunct/>
        <w:topLinePunct w:val="0"/>
        <w:autoSpaceDE/>
        <w:autoSpaceDN/>
        <w:bidi w:val="0"/>
        <w:snapToGrid w:val="0"/>
        <w:spacing w:line="360" w:lineRule="auto"/>
        <w:ind w:firstLine="480" w:firstLineChars="200"/>
        <w:textAlignment w:val="auto"/>
        <w:rPr>
          <w:sz w:val="24"/>
        </w:rPr>
      </w:pPr>
    </w:p>
    <w:p w14:paraId="5FE06D37">
      <w:pPr>
        <w:keepNext w:val="0"/>
        <w:keepLines w:val="0"/>
        <w:pageBreakBefore w:val="0"/>
        <w:kinsoku/>
        <w:wordWrap/>
        <w:overflowPunct/>
        <w:topLinePunct w:val="0"/>
        <w:autoSpaceDE/>
        <w:autoSpaceDN/>
        <w:bidi w:val="0"/>
        <w:spacing w:line="360" w:lineRule="auto"/>
        <w:textAlignment w:val="auto"/>
      </w:pPr>
    </w:p>
    <w:p w14:paraId="7F223639">
      <w:pPr>
        <w:keepNext w:val="0"/>
        <w:keepLines w:val="0"/>
        <w:pageBreakBefore w:val="0"/>
        <w:kinsoku/>
        <w:wordWrap/>
        <w:overflowPunct/>
        <w:topLinePunct w:val="0"/>
        <w:autoSpaceDE/>
        <w:autoSpaceDN/>
        <w:bidi w:val="0"/>
        <w:spacing w:line="360" w:lineRule="auto"/>
        <w:textAlignment w:val="auto"/>
      </w:pPr>
    </w:p>
    <w:p w14:paraId="6AC21A92">
      <w:pPr>
        <w:keepNext w:val="0"/>
        <w:keepLines w:val="0"/>
        <w:pageBreakBefore w:val="0"/>
        <w:kinsoku/>
        <w:wordWrap/>
        <w:overflowPunct/>
        <w:topLinePunct w:val="0"/>
        <w:autoSpaceDE/>
        <w:autoSpaceDN/>
        <w:bidi w:val="0"/>
        <w:spacing w:line="360" w:lineRule="auto"/>
        <w:textAlignment w:val="auto"/>
      </w:pPr>
    </w:p>
    <w:p w14:paraId="011EAF28">
      <w:pPr>
        <w:keepNext w:val="0"/>
        <w:keepLines w:val="0"/>
        <w:pageBreakBefore w:val="0"/>
        <w:kinsoku/>
        <w:wordWrap/>
        <w:overflowPunct/>
        <w:topLinePunct w:val="0"/>
        <w:autoSpaceDE/>
        <w:autoSpaceDN/>
        <w:bidi w:val="0"/>
        <w:spacing w:line="360" w:lineRule="auto"/>
        <w:textAlignment w:val="auto"/>
      </w:pPr>
    </w:p>
    <w:p w14:paraId="1D8D7C06">
      <w:pPr>
        <w:keepNext w:val="0"/>
        <w:keepLines w:val="0"/>
        <w:pageBreakBefore w:val="0"/>
        <w:kinsoku/>
        <w:wordWrap/>
        <w:overflowPunct/>
        <w:topLinePunct w:val="0"/>
        <w:autoSpaceDE/>
        <w:autoSpaceDN/>
        <w:bidi w:val="0"/>
        <w:spacing w:line="360" w:lineRule="auto"/>
        <w:textAlignment w:val="auto"/>
      </w:pPr>
    </w:p>
    <w:p w14:paraId="445AA0A6">
      <w:pPr>
        <w:keepNext w:val="0"/>
        <w:keepLines w:val="0"/>
        <w:pageBreakBefore w:val="0"/>
        <w:kinsoku/>
        <w:wordWrap/>
        <w:overflowPunct/>
        <w:topLinePunct w:val="0"/>
        <w:autoSpaceDE/>
        <w:autoSpaceDN/>
        <w:bidi w:val="0"/>
        <w:spacing w:line="360" w:lineRule="auto"/>
        <w:textAlignment w:val="auto"/>
      </w:pPr>
    </w:p>
    <w:p w14:paraId="4316CB38">
      <w:pPr>
        <w:keepNext w:val="0"/>
        <w:keepLines w:val="0"/>
        <w:pageBreakBefore w:val="0"/>
        <w:kinsoku/>
        <w:wordWrap/>
        <w:overflowPunct/>
        <w:topLinePunct w:val="0"/>
        <w:autoSpaceDE/>
        <w:autoSpaceDN/>
        <w:bidi w:val="0"/>
        <w:spacing w:line="360" w:lineRule="auto"/>
        <w:textAlignment w:val="auto"/>
      </w:pPr>
    </w:p>
    <w:p w14:paraId="75830AD7">
      <w:pPr>
        <w:keepNext w:val="0"/>
        <w:keepLines w:val="0"/>
        <w:pageBreakBefore w:val="0"/>
        <w:kinsoku/>
        <w:wordWrap/>
        <w:overflowPunct/>
        <w:topLinePunct w:val="0"/>
        <w:autoSpaceDE/>
        <w:autoSpaceDN/>
        <w:bidi w:val="0"/>
        <w:spacing w:line="360" w:lineRule="auto"/>
        <w:textAlignment w:val="auto"/>
      </w:pPr>
    </w:p>
    <w:p w14:paraId="7C6BAA31">
      <w:pPr>
        <w:keepNext w:val="0"/>
        <w:keepLines w:val="0"/>
        <w:pageBreakBefore w:val="0"/>
        <w:kinsoku/>
        <w:wordWrap/>
        <w:overflowPunct/>
        <w:topLinePunct w:val="0"/>
        <w:autoSpaceDE/>
        <w:autoSpaceDN/>
        <w:bidi w:val="0"/>
        <w:spacing w:line="360" w:lineRule="auto"/>
        <w:textAlignment w:val="auto"/>
      </w:pPr>
    </w:p>
    <w:p w14:paraId="6C20DAFC">
      <w:pPr>
        <w:keepNext w:val="0"/>
        <w:keepLines w:val="0"/>
        <w:pageBreakBefore w:val="0"/>
        <w:widowControl/>
        <w:kinsoku/>
        <w:wordWrap/>
        <w:overflowPunct/>
        <w:topLinePunct w:val="0"/>
        <w:autoSpaceDE/>
        <w:autoSpaceDN/>
        <w:bidi w:val="0"/>
        <w:spacing w:line="360" w:lineRule="auto"/>
        <w:jc w:val="left"/>
        <w:textAlignment w:val="auto"/>
        <w:rPr>
          <w:rFonts w:eastAsia="黑体"/>
          <w:kern w:val="0"/>
          <w:sz w:val="24"/>
        </w:rPr>
        <w:sectPr>
          <w:footerReference r:id="rId3" w:type="default"/>
          <w:footerReference r:id="rId4" w:type="even"/>
          <w:pgSz w:w="11906" w:h="16838"/>
          <w:pgMar w:top="1440" w:right="1797" w:bottom="1440" w:left="1797" w:header="851" w:footer="992" w:gutter="0"/>
          <w:cols w:space="425" w:num="1"/>
          <w:docGrid w:type="lines" w:linePitch="312" w:charSpace="0"/>
        </w:sectPr>
      </w:pPr>
    </w:p>
    <w:p w14:paraId="7B96289B">
      <w:pPr>
        <w:keepNext w:val="0"/>
        <w:keepLines w:val="0"/>
        <w:pageBreakBefore w:val="0"/>
        <w:widowControl/>
        <w:kinsoku/>
        <w:wordWrap/>
        <w:overflowPunct/>
        <w:topLinePunct w:val="0"/>
        <w:autoSpaceDE/>
        <w:autoSpaceDN/>
        <w:bidi w:val="0"/>
        <w:spacing w:line="360" w:lineRule="auto"/>
        <w:jc w:val="left"/>
        <w:textAlignment w:val="auto"/>
        <w:rPr>
          <w:rFonts w:hint="eastAsia" w:ascii="黑体" w:hAnsi="宋体" w:eastAsia="黑体"/>
          <w:kern w:val="0"/>
          <w:sz w:val="24"/>
        </w:rPr>
      </w:pPr>
      <w:r>
        <w:rPr>
          <w:rFonts w:eastAsia="黑体"/>
          <w:kern w:val="0"/>
          <w:sz w:val="24"/>
        </w:rPr>
        <w:t xml:space="preserve">附表   </w:t>
      </w:r>
      <w:r>
        <w:rPr>
          <w:rFonts w:hint="eastAsia" w:ascii="黑体" w:hAnsi="宋体" w:eastAsia="黑体"/>
          <w:kern w:val="0"/>
          <w:sz w:val="24"/>
        </w:rPr>
        <w:t xml:space="preserve">申报指南 </w:t>
      </w:r>
    </w:p>
    <w:p w14:paraId="4738C744">
      <w:pPr>
        <w:keepNext w:val="0"/>
        <w:keepLines w:val="0"/>
        <w:pageBreakBefore w:val="0"/>
        <w:widowControl/>
        <w:kinsoku/>
        <w:wordWrap/>
        <w:overflowPunct/>
        <w:topLinePunct w:val="0"/>
        <w:autoSpaceDE/>
        <w:autoSpaceDN/>
        <w:bidi w:val="0"/>
        <w:adjustRightInd w:val="0"/>
        <w:snapToGrid w:val="0"/>
        <w:spacing w:line="360" w:lineRule="auto"/>
        <w:jc w:val="left"/>
        <w:textAlignment w:val="auto"/>
      </w:pPr>
    </w:p>
    <w:tbl>
      <w:tblPr>
        <w:tblStyle w:val="10"/>
        <w:tblW w:w="15546"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82"/>
        <w:gridCol w:w="2374"/>
        <w:gridCol w:w="5239"/>
        <w:gridCol w:w="6851"/>
      </w:tblGrid>
      <w:tr w14:paraId="5D94C8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3" w:hRule="atLeast"/>
          <w:tblHeader/>
        </w:trPr>
        <w:tc>
          <w:tcPr>
            <w:tcW w:w="1082" w:type="dxa"/>
            <w:tcBorders>
              <w:top w:val="single" w:color="000000" w:sz="4" w:space="0"/>
              <w:left w:val="single" w:color="000000" w:sz="4" w:space="0"/>
              <w:bottom w:val="single" w:color="000000" w:sz="4" w:space="0"/>
              <w:right w:val="single" w:color="000000" w:sz="4" w:space="0"/>
            </w:tcBorders>
            <w:shd w:val="clear" w:color="auto" w:fill="8EA9DB"/>
            <w:noWrap/>
            <w:vAlign w:val="center"/>
          </w:tcPr>
          <w:p w14:paraId="22BAD9D9">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仿宋_GB2312" w:cs="Times New Roman"/>
                <w:b/>
                <w:bCs/>
                <w:i w:val="0"/>
                <w:iCs w:val="0"/>
                <w:color w:val="000000"/>
                <w:kern w:val="0"/>
                <w:sz w:val="24"/>
                <w:szCs w:val="24"/>
                <w:u w:val="none"/>
                <w:lang w:val="en-US" w:eastAsia="zh-CN" w:bidi="ar"/>
              </w:rPr>
              <w:t>序号</w:t>
            </w:r>
          </w:p>
        </w:tc>
        <w:tc>
          <w:tcPr>
            <w:tcW w:w="2374" w:type="dxa"/>
            <w:tcBorders>
              <w:top w:val="single" w:color="000000" w:sz="4" w:space="0"/>
              <w:left w:val="single" w:color="000000" w:sz="4" w:space="0"/>
              <w:bottom w:val="single" w:color="000000" w:sz="4" w:space="0"/>
              <w:right w:val="single" w:color="000000" w:sz="4" w:space="0"/>
            </w:tcBorders>
            <w:shd w:val="clear" w:color="auto" w:fill="8EA9DB"/>
            <w:vAlign w:val="center"/>
          </w:tcPr>
          <w:p w14:paraId="37734260">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仿宋_GB2312" w:cs="Times New Roman"/>
                <w:b/>
                <w:bCs/>
                <w:i w:val="0"/>
                <w:iCs w:val="0"/>
                <w:color w:val="000000"/>
                <w:kern w:val="0"/>
                <w:sz w:val="24"/>
                <w:szCs w:val="24"/>
                <w:u w:val="none"/>
                <w:lang w:val="en-US" w:eastAsia="zh-CN" w:bidi="ar"/>
              </w:rPr>
              <w:t>课题</w:t>
            </w:r>
            <w:r>
              <w:rPr>
                <w:rFonts w:hint="default" w:ascii="Times New Roman" w:hAnsi="Times New Roman" w:eastAsia="宋体" w:cs="Times New Roman"/>
                <w:b/>
                <w:bCs/>
                <w:i w:val="0"/>
                <w:iCs w:val="0"/>
                <w:color w:val="000000"/>
                <w:kern w:val="0"/>
                <w:sz w:val="24"/>
                <w:szCs w:val="24"/>
                <w:u w:val="none"/>
                <w:lang w:val="en-US" w:eastAsia="zh-CN" w:bidi="ar"/>
              </w:rPr>
              <w:t>/</w:t>
            </w:r>
            <w:r>
              <w:rPr>
                <w:rFonts w:hint="default" w:ascii="Times New Roman" w:hAnsi="Times New Roman" w:eastAsia="仿宋_GB2312" w:cs="Times New Roman"/>
                <w:b/>
                <w:bCs/>
                <w:i w:val="0"/>
                <w:iCs w:val="0"/>
                <w:color w:val="000000"/>
                <w:kern w:val="0"/>
                <w:sz w:val="24"/>
                <w:szCs w:val="24"/>
                <w:u w:val="none"/>
                <w:lang w:val="en-US" w:eastAsia="zh-CN" w:bidi="ar"/>
              </w:rPr>
              <w:t>项目名称</w:t>
            </w:r>
          </w:p>
        </w:tc>
        <w:tc>
          <w:tcPr>
            <w:tcW w:w="5239" w:type="dxa"/>
            <w:tcBorders>
              <w:top w:val="single" w:color="000000" w:sz="4" w:space="0"/>
              <w:left w:val="single" w:color="000000" w:sz="4" w:space="0"/>
              <w:bottom w:val="single" w:color="000000" w:sz="4" w:space="0"/>
              <w:right w:val="single" w:color="000000" w:sz="4" w:space="0"/>
            </w:tcBorders>
            <w:shd w:val="clear" w:color="auto" w:fill="8EA9DB"/>
            <w:vAlign w:val="center"/>
          </w:tcPr>
          <w:p w14:paraId="115ADE36">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仿宋_GB2312" w:cs="Times New Roman"/>
                <w:b/>
                <w:bCs/>
                <w:i w:val="0"/>
                <w:iCs w:val="0"/>
                <w:color w:val="000000"/>
                <w:kern w:val="0"/>
                <w:sz w:val="24"/>
                <w:szCs w:val="24"/>
                <w:u w:val="none"/>
                <w:lang w:val="en-US" w:eastAsia="zh-CN" w:bidi="ar"/>
              </w:rPr>
              <w:t>课题</w:t>
            </w:r>
            <w:r>
              <w:rPr>
                <w:rFonts w:hint="default" w:ascii="Times New Roman" w:hAnsi="Times New Roman" w:eastAsia="宋体" w:cs="Times New Roman"/>
                <w:b/>
                <w:bCs/>
                <w:i w:val="0"/>
                <w:iCs w:val="0"/>
                <w:color w:val="000000"/>
                <w:kern w:val="0"/>
                <w:sz w:val="24"/>
                <w:szCs w:val="24"/>
                <w:u w:val="none"/>
                <w:lang w:val="en-US" w:eastAsia="zh-CN" w:bidi="ar"/>
              </w:rPr>
              <w:t>/</w:t>
            </w:r>
            <w:r>
              <w:rPr>
                <w:rFonts w:hint="default" w:ascii="Times New Roman" w:hAnsi="Times New Roman" w:eastAsia="仿宋_GB2312" w:cs="Times New Roman"/>
                <w:b/>
                <w:bCs/>
                <w:i w:val="0"/>
                <w:iCs w:val="0"/>
                <w:color w:val="000000"/>
                <w:kern w:val="0"/>
                <w:sz w:val="24"/>
                <w:szCs w:val="24"/>
                <w:u w:val="none"/>
                <w:lang w:val="en-US" w:eastAsia="zh-CN" w:bidi="ar"/>
              </w:rPr>
              <w:t>项目立项背景</w:t>
            </w:r>
          </w:p>
        </w:tc>
        <w:tc>
          <w:tcPr>
            <w:tcW w:w="6851" w:type="dxa"/>
            <w:tcBorders>
              <w:top w:val="single" w:color="000000" w:sz="4" w:space="0"/>
              <w:left w:val="single" w:color="000000" w:sz="4" w:space="0"/>
              <w:bottom w:val="single" w:color="000000" w:sz="4" w:space="0"/>
              <w:right w:val="single" w:color="000000" w:sz="4" w:space="0"/>
            </w:tcBorders>
            <w:shd w:val="clear" w:color="auto" w:fill="8EA9DB"/>
            <w:vAlign w:val="center"/>
          </w:tcPr>
          <w:p w14:paraId="29C6948D">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仿宋_GB2312" w:cs="Times New Roman"/>
                <w:b/>
                <w:bCs/>
                <w:i w:val="0"/>
                <w:iCs w:val="0"/>
                <w:color w:val="000000"/>
                <w:kern w:val="0"/>
                <w:sz w:val="24"/>
                <w:szCs w:val="24"/>
                <w:u w:val="none"/>
                <w:lang w:val="en-US" w:eastAsia="zh-CN" w:bidi="ar"/>
              </w:rPr>
              <w:t>开发内容及目标</w:t>
            </w:r>
          </w:p>
        </w:tc>
      </w:tr>
      <w:tr w14:paraId="37C6F0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80" w:hRule="atLeast"/>
        </w:trPr>
        <w:tc>
          <w:tcPr>
            <w:tcW w:w="10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A5B271">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p>
        </w:tc>
        <w:tc>
          <w:tcPr>
            <w:tcW w:w="23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87DAB1">
            <w:pPr>
              <w:keepNext w:val="0"/>
              <w:keepLines w:val="0"/>
              <w:widowControl/>
              <w:suppressLineNumbers w:val="0"/>
              <w:jc w:val="both"/>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焦耳热催化CO</w:t>
            </w:r>
            <w:r>
              <w:rPr>
                <w:rFonts w:hint="default" w:ascii="Times New Roman" w:hAnsi="Times New Roman" w:eastAsia="宋体" w:cs="Times New Roman"/>
                <w:i w:val="0"/>
                <w:iCs w:val="0"/>
                <w:color w:val="000000"/>
                <w:kern w:val="0"/>
                <w:sz w:val="24"/>
                <w:szCs w:val="24"/>
                <w:u w:val="none"/>
                <w:vertAlign w:val="subscript"/>
                <w:lang w:val="en-US" w:eastAsia="zh-CN" w:bidi="ar"/>
              </w:rPr>
              <w:t>2</w:t>
            </w:r>
            <w:r>
              <w:rPr>
                <w:rFonts w:hint="default" w:ascii="Times New Roman" w:hAnsi="Times New Roman" w:eastAsia="宋体" w:cs="Times New Roman"/>
                <w:i w:val="0"/>
                <w:iCs w:val="0"/>
                <w:color w:val="000000"/>
                <w:kern w:val="0"/>
                <w:sz w:val="24"/>
                <w:szCs w:val="24"/>
                <w:u w:val="none"/>
                <w:lang w:val="en-US" w:eastAsia="zh-CN" w:bidi="ar"/>
              </w:rPr>
              <w:t>加氢反应的催化剂及反应机制研究</w:t>
            </w:r>
          </w:p>
        </w:tc>
        <w:tc>
          <w:tcPr>
            <w:tcW w:w="52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033459">
            <w:pPr>
              <w:keepNext w:val="0"/>
              <w:keepLines w:val="0"/>
              <w:widowControl/>
              <w:suppressLineNumbers w:val="0"/>
              <w:jc w:val="both"/>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利用可再生能源产生的“绿氢”将CO</w:t>
            </w:r>
            <w:r>
              <w:rPr>
                <w:rFonts w:hint="default" w:ascii="Times New Roman" w:hAnsi="Times New Roman" w:eastAsia="宋体" w:cs="Times New Roman"/>
                <w:i w:val="0"/>
                <w:iCs w:val="0"/>
                <w:color w:val="000000"/>
                <w:kern w:val="0"/>
                <w:sz w:val="24"/>
                <w:szCs w:val="24"/>
                <w:u w:val="none"/>
                <w:vertAlign w:val="subscript"/>
                <w:lang w:val="en-US" w:eastAsia="zh-CN" w:bidi="ar"/>
              </w:rPr>
              <w:t>2</w:t>
            </w:r>
            <w:r>
              <w:rPr>
                <w:rFonts w:hint="default" w:ascii="Times New Roman" w:hAnsi="Times New Roman" w:eastAsia="宋体" w:cs="Times New Roman"/>
                <w:i w:val="0"/>
                <w:iCs w:val="0"/>
                <w:color w:val="000000"/>
                <w:kern w:val="0"/>
                <w:sz w:val="24"/>
                <w:szCs w:val="24"/>
                <w:u w:val="none"/>
                <w:lang w:val="en-US" w:eastAsia="zh-CN" w:bidi="ar"/>
              </w:rPr>
              <w:t>催化转化为高附加值燃料和化学品，是实现“双碳”目标的关键技术路径之一。传统热催化CO</w:t>
            </w:r>
            <w:r>
              <w:rPr>
                <w:rFonts w:hint="default" w:ascii="Times New Roman" w:hAnsi="Times New Roman" w:eastAsia="宋体" w:cs="Times New Roman"/>
                <w:i w:val="0"/>
                <w:iCs w:val="0"/>
                <w:color w:val="000000"/>
                <w:kern w:val="0"/>
                <w:sz w:val="24"/>
                <w:szCs w:val="24"/>
                <w:u w:val="none"/>
                <w:vertAlign w:val="subscript"/>
                <w:lang w:val="en-US" w:eastAsia="zh-CN" w:bidi="ar"/>
              </w:rPr>
              <w:t>2</w:t>
            </w:r>
            <w:r>
              <w:rPr>
                <w:rFonts w:hint="default" w:ascii="Times New Roman" w:hAnsi="Times New Roman" w:eastAsia="宋体" w:cs="Times New Roman"/>
                <w:i w:val="0"/>
                <w:iCs w:val="0"/>
                <w:color w:val="000000"/>
                <w:kern w:val="0"/>
                <w:sz w:val="24"/>
                <w:szCs w:val="24"/>
                <w:u w:val="none"/>
                <w:lang w:val="en-US" w:eastAsia="zh-CN" w:bidi="ar"/>
              </w:rPr>
              <w:t>加氢存在反应速率与目标产物选择性间的权衡关系，且催化剂易因局部过热而烧结失活。近期研究表明，焦耳热催化利用电流通过导电性催化剂产生的瞬时、均匀、超高升温速率和冷却速率，可创造出独特的非平衡反应环境，有望打破传统热催化的限制，实现对反应路径的精准调控。然而，对于焦耳热催化剂的组成和结构对于反应的影响规律以及对焦耳热催化剂目前的催化反应过程的核心作用机制，如瞬态温度场对表面反应中间体、C-C耦合行为的影响规律以及催化剂导电对催化反应影响规律等的认识尚不明晰，亟需开展深入的机理研究与实验验证，为将来绿电驱动焦耳热催化剂规模化应用提供理论支撑。</w:t>
            </w:r>
          </w:p>
        </w:tc>
        <w:tc>
          <w:tcPr>
            <w:tcW w:w="68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9D0D0E">
            <w:pPr>
              <w:keepNext w:val="0"/>
              <w:keepLines w:val="0"/>
              <w:widowControl/>
              <w:suppressLineNumbers w:val="0"/>
              <w:jc w:val="both"/>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开发内容：</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（1）设计并搭建适用于焦耳热催化的微反应器系统，集成脉冲电流控制与快速产物在线检测模块；</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（2）制备系列具有不同导电性与表面性质的焦耳热催化剂（如Fe基、Co基催化剂），结合泡沫金属作为焦耳热导电载体；</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（3）系统研究在焦耳热瞬态条件下，CO</w:t>
            </w:r>
            <w:r>
              <w:rPr>
                <w:rFonts w:hint="default" w:ascii="Times New Roman" w:hAnsi="Times New Roman" w:eastAsia="宋体" w:cs="Times New Roman"/>
                <w:i w:val="0"/>
                <w:iCs w:val="0"/>
                <w:color w:val="000000"/>
                <w:kern w:val="0"/>
                <w:sz w:val="24"/>
                <w:szCs w:val="24"/>
                <w:u w:val="none"/>
                <w:vertAlign w:val="subscript"/>
                <w:lang w:val="en-US" w:eastAsia="zh-CN" w:bidi="ar"/>
              </w:rPr>
              <w:t>2</w:t>
            </w:r>
            <w:r>
              <w:rPr>
                <w:rFonts w:hint="default" w:ascii="Times New Roman" w:hAnsi="Times New Roman" w:eastAsia="宋体" w:cs="Times New Roman"/>
                <w:i w:val="0"/>
                <w:iCs w:val="0"/>
                <w:color w:val="000000"/>
                <w:kern w:val="0"/>
                <w:sz w:val="24"/>
                <w:szCs w:val="24"/>
                <w:u w:val="none"/>
                <w:lang w:val="en-US" w:eastAsia="zh-CN" w:bidi="ar"/>
              </w:rPr>
              <w:t>加氢的反应路径，重点通过原位/准原位光谱技术识别关键表面中间体（如*COOH, *CO, *CHx等），阐明C-C耦合的触发机制；</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（4）对比研究焦耳热模式与传统稳态加热模式下，催化剂活性位点、产物分布及反应动力学的差异，揭示焦耳热效应的本质。</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开发目标：</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在焦耳热催化模式下，实现CO</w:t>
            </w:r>
            <w:r>
              <w:rPr>
                <w:rFonts w:hint="default" w:ascii="Times New Roman" w:hAnsi="Times New Roman" w:eastAsia="宋体" w:cs="Times New Roman"/>
                <w:i w:val="0"/>
                <w:iCs w:val="0"/>
                <w:color w:val="000000"/>
                <w:kern w:val="0"/>
                <w:sz w:val="24"/>
                <w:szCs w:val="24"/>
                <w:u w:val="none"/>
                <w:vertAlign w:val="subscript"/>
                <w:lang w:val="en-US" w:eastAsia="zh-CN" w:bidi="ar"/>
              </w:rPr>
              <w:t>2</w:t>
            </w:r>
            <w:r>
              <w:rPr>
                <w:rFonts w:hint="default" w:ascii="Times New Roman" w:hAnsi="Times New Roman" w:eastAsia="宋体" w:cs="Times New Roman"/>
                <w:i w:val="0"/>
                <w:iCs w:val="0"/>
                <w:color w:val="000000"/>
                <w:kern w:val="0"/>
                <w:sz w:val="24"/>
                <w:szCs w:val="24"/>
                <w:u w:val="none"/>
                <w:lang w:val="en-US" w:eastAsia="zh-CN" w:bidi="ar"/>
              </w:rPr>
              <w:t>单程转化率不低于20%，C4+产物在总碳氢化合物中的选择性大于30%。阐明焦耳热效应下CO</w:t>
            </w:r>
            <w:r>
              <w:rPr>
                <w:rFonts w:hint="default" w:ascii="Times New Roman" w:hAnsi="Times New Roman" w:eastAsia="宋体" w:cs="Times New Roman"/>
                <w:i w:val="0"/>
                <w:iCs w:val="0"/>
                <w:color w:val="000000"/>
                <w:kern w:val="0"/>
                <w:sz w:val="24"/>
                <w:szCs w:val="24"/>
                <w:u w:val="none"/>
                <w:vertAlign w:val="subscript"/>
                <w:lang w:val="en-US" w:eastAsia="zh-CN" w:bidi="ar"/>
              </w:rPr>
              <w:t>2</w:t>
            </w:r>
            <w:r>
              <w:rPr>
                <w:rFonts w:hint="default" w:ascii="Times New Roman" w:hAnsi="Times New Roman" w:eastAsia="宋体" w:cs="Times New Roman"/>
                <w:i w:val="0"/>
                <w:iCs w:val="0"/>
                <w:color w:val="000000"/>
                <w:kern w:val="0"/>
                <w:sz w:val="24"/>
                <w:szCs w:val="24"/>
                <w:u w:val="none"/>
                <w:lang w:val="en-US" w:eastAsia="zh-CN" w:bidi="ar"/>
              </w:rPr>
              <w:t>加氢制C4+产物的主导反应路径，构建“反应条件-表面中间体-产物选择性”的关联模型，为高性能焦耳热催化剂工业设计提供理论指导。发表高水平研究论文1-2篇，申请专利1件。</w:t>
            </w:r>
          </w:p>
        </w:tc>
      </w:tr>
      <w:tr w14:paraId="265277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57" w:hRule="atLeast"/>
        </w:trPr>
        <w:tc>
          <w:tcPr>
            <w:tcW w:w="10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53D833">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w:t>
            </w:r>
          </w:p>
        </w:tc>
        <w:tc>
          <w:tcPr>
            <w:tcW w:w="23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D50B94">
            <w:pPr>
              <w:keepNext w:val="0"/>
              <w:keepLines w:val="0"/>
              <w:widowControl/>
              <w:suppressLineNumbers w:val="0"/>
              <w:jc w:val="both"/>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甲醇制氢正逆反应的SSITKA研究</w:t>
            </w:r>
          </w:p>
        </w:tc>
        <w:tc>
          <w:tcPr>
            <w:tcW w:w="52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13CCAE">
            <w:pPr>
              <w:keepNext w:val="0"/>
              <w:keepLines w:val="0"/>
              <w:widowControl/>
              <w:suppressLineNumbers w:val="0"/>
              <w:jc w:val="both"/>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氢能而被视为21世纪的终极能源。甲醇作为理想氢载体的优势，具有氢碳比高，液态常温常压、反应温度低等特点。甲醇制氢是一个复杂的催化过程，其逆向反应为CO</w:t>
            </w:r>
            <w:r>
              <w:rPr>
                <w:rFonts w:hint="default" w:ascii="Times New Roman" w:hAnsi="Times New Roman" w:eastAsia="宋体" w:cs="Times New Roman"/>
                <w:i w:val="0"/>
                <w:iCs w:val="0"/>
                <w:color w:val="000000"/>
                <w:kern w:val="0"/>
                <w:sz w:val="24"/>
                <w:szCs w:val="24"/>
                <w:u w:val="none"/>
                <w:vertAlign w:val="subscript"/>
                <w:lang w:val="en-US" w:eastAsia="zh-CN" w:bidi="ar"/>
              </w:rPr>
              <w:t>2</w:t>
            </w:r>
            <w:r>
              <w:rPr>
                <w:rFonts w:hint="default" w:ascii="Times New Roman" w:hAnsi="Times New Roman" w:eastAsia="宋体" w:cs="Times New Roman"/>
                <w:i w:val="0"/>
                <w:iCs w:val="0"/>
                <w:color w:val="000000"/>
                <w:kern w:val="0"/>
                <w:sz w:val="24"/>
                <w:szCs w:val="24"/>
                <w:u w:val="none"/>
                <w:lang w:val="en-US" w:eastAsia="zh-CN" w:bidi="ar"/>
              </w:rPr>
              <w:t>加氢制甲醇反应。使用SSITKA研究正逆向反应的机理，可更清晰地揭示关键中间体和决速步，化对催化剂活性中心本质的理解。</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甲醇重整制氢最经典的催化剂是Cu/ZnO/Al₂O₃，但其稳定性差。所以通过对机理的理解，找出失活的原因，进而改进其稳定性，甲醇制氢催化剂的工业化进程具有重要意义。</w:t>
            </w:r>
          </w:p>
        </w:tc>
        <w:tc>
          <w:tcPr>
            <w:tcW w:w="68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F34126">
            <w:pPr>
              <w:keepNext w:val="0"/>
              <w:keepLines w:val="0"/>
              <w:widowControl/>
              <w:suppressLineNumbers w:val="0"/>
              <w:jc w:val="both"/>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开发内容：</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（1）开发甲醇重整制氢的反应系统，建设相应的SSITKA试验装置；</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（2）开发适配CuZnAl的催化剂体系，并进行不同的反应温度、反应时间、催化剂浓度等条件考察，确定最佳的SSITKA研究条件。</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（3）开展SSITKA对其逆反应的研究，探索催化剂失活原因，并改进催化剂稳定性。</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开发目标：</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开发以CuZnAl为基础的甲醇重整制氢技术，并通过SSITKA研究其失活机理，实现高稳定性CuZnAl催化剂的创制，实现100小时内失活不高于10%。</w:t>
            </w:r>
          </w:p>
        </w:tc>
      </w:tr>
      <w:tr w14:paraId="712E32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60" w:hRule="atLeast"/>
        </w:trPr>
        <w:tc>
          <w:tcPr>
            <w:tcW w:w="10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5A3291">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w:t>
            </w:r>
          </w:p>
        </w:tc>
        <w:tc>
          <w:tcPr>
            <w:tcW w:w="23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EE7769">
            <w:pPr>
              <w:keepNext w:val="0"/>
              <w:keepLines w:val="0"/>
              <w:widowControl/>
              <w:suppressLineNumbers w:val="0"/>
              <w:jc w:val="both"/>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有机固废厌氧发酵制丁酸及分离技术研究</w:t>
            </w:r>
          </w:p>
        </w:tc>
        <w:tc>
          <w:tcPr>
            <w:tcW w:w="52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443A64">
            <w:pPr>
              <w:keepNext w:val="0"/>
              <w:keepLines w:val="0"/>
              <w:widowControl/>
              <w:suppressLineNumbers w:val="0"/>
              <w:jc w:val="both"/>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我国多源有机固废，如餐厨垃圾、剩余污泥及酒糟等，年排放量巨大。若通过厌氧消化技术将其定向转化为挥发性脂肪酸（VFAs），特别是丁酸等高附加值产物，将有助于推动废弃物的资源化利用，减少对化石燃料的依赖，并降低碳排放。然而，当前多源有机固废定向产丁酸仍面临转化效率低、产物选择性不高等亟待解决的技术瓶颈。通过菌群调控、工艺优化及模型辅助等手段，实现餐厨垃圾等多元有机固废高效定向制备丁酸等高值化学品，具有重要的科学价值与工程意义，符合国家及地方在资源循环与低碳发展方面的战略需求。</w:t>
            </w:r>
          </w:p>
        </w:tc>
        <w:tc>
          <w:tcPr>
            <w:tcW w:w="68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C6A074">
            <w:pPr>
              <w:keepNext w:val="0"/>
              <w:keepLines w:val="0"/>
              <w:widowControl/>
              <w:suppressLineNumbers w:val="0"/>
              <w:jc w:val="both"/>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开发内容：</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1）开发以餐厨垃圾等有机固废为原料制备丁酸的工艺技术。通过对不同预处理条件进行系统优化，并对厌氧消化工艺参数进行详细考察，确定最优工艺条件；构建原料组成-工艺参数-丁酸产率的关联模型，完成反应机理研究及工艺小试验证。</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（2）开展发酵液中丁酸产物的分离纯化工艺研究；</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（3）完成有机固废发酵制备丁酸的全流程技术经济性分析。</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开发目标：</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开发以餐厨垃圾等有机固废制丁酸的工艺技术，丁酸收率不低于0.25g/g VS，其中丁酸90%选择性以上（以VFAs计）、丁酸浓度超过15g/L；分离纯化丁酸产品，丁酸纯度≥90%，其他杂质盐分、蛋白、氮磷等副产物含量≤3%；完成有机固废发酵制丁酸的技术经济性分析报告。</w:t>
            </w:r>
          </w:p>
        </w:tc>
      </w:tr>
      <w:tr w14:paraId="4473F7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80" w:hRule="atLeast"/>
        </w:trPr>
        <w:tc>
          <w:tcPr>
            <w:tcW w:w="10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EDF7C5">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4</w:t>
            </w:r>
          </w:p>
        </w:tc>
        <w:tc>
          <w:tcPr>
            <w:tcW w:w="23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B2CE29">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 xml:space="preserve">沸石膜反应器在C5烷烃脱氢反应中的应用研究 </w:t>
            </w:r>
          </w:p>
        </w:tc>
        <w:tc>
          <w:tcPr>
            <w:tcW w:w="52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375B6D">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从绿色碳科学观点来看，现有低碳烯烃生产技术仍有系列科学问题需要完善。通过将石脑油中的烷烃组分脱氢生成烯烃，再经烯烃裂解生产具有高附加值的低碳烯烃原料，优化了反应过程中的碳氢平衡，最大程度减少裂解过程中干气（甲烷）的生成，提高碳原子利用效率，并实现低碳烯烃生产的灵活调控。因此，由石脑油中的烷烃组分（主要为C5以上烷烃），经催化脱氢过程生产对应烯烃的技术开发为重要支撑工艺。</w:t>
            </w:r>
          </w:p>
        </w:tc>
        <w:tc>
          <w:tcPr>
            <w:tcW w:w="68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DF6337">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开发内容：</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（1）开发戊烷脱氢制戊烯的膜反应器催化反应系统，建设相应的试验装置；</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2）开发适配戊烷脱氢制戊烯的反应体系的催化剂，和具有优异气体分离性能的沸石分子筛膜材料，以异戊烷、正戊烷为原料，进行不同的反应温度、反应时间、反应压力、进料空速等条件考察，确定最佳工艺条件；完成沸石膜催化反应器工艺小试研究。</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开发目标：</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开发以C5烷烃（异戊烷及正戊烷）为原料高效制取对应烯烃的工艺技术，在400℃以下实现戊烷转化率&gt;40%，烯烃选择性&gt;85%。</w:t>
            </w:r>
          </w:p>
        </w:tc>
      </w:tr>
      <w:tr w14:paraId="118993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0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25D566">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5</w:t>
            </w:r>
          </w:p>
        </w:tc>
        <w:tc>
          <w:tcPr>
            <w:tcW w:w="23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565D5B">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Co纳米颗粒可控合成及重构转变机制研究</w:t>
            </w:r>
          </w:p>
        </w:tc>
        <w:tc>
          <w:tcPr>
            <w:tcW w:w="52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41B21F">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费托合成作为将合成气高效转化为液体燃料的关键催化过程，其工业化应用高度依赖于高性能催化剂的开发。在众多催化材料中，钴基催化剂因其突出的碳链增长能力与较优的产物选择性而成为研究重点。催化剂的活性、选择性及稳定性与其纳米尺度特性（颗粒尺寸、形貌及晶体结构）存在显著的构效关系。研究表明，钴纳米颗粒主要呈现面心立方（FCC）与密排六方（HCP）两种晶体结构，两者在特定反应条件下可能发生相互转化，并直接影响到表面活性位点的分布与反应路径。因此，系统探究合成条件对钴纳米颗粒形貌与晶体结构的调控规律，揭示其在费托合成反应过程中的动态演变机制，剖析HCP与FCC结构之间的转化行为和重构过程，不仅具有重要的科学意义，更是实现高收率、长寿命工业级钴基催化剂理性设计的关键前提。</w:t>
            </w:r>
          </w:p>
        </w:tc>
        <w:tc>
          <w:tcPr>
            <w:tcW w:w="68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787F05">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开发内容：</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（1）通过可控合成方法，设计与制备不同尺寸及结构的钴（Co）纳米催化剂，系统研究前驱体种类、溶剂体系及反应条件对催化剂粒径、晶型与形貌的影响规律；</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（2）结合密度泛函理论（DFT）计算与微观动力学，揭示不同结构钴活性位点的催化本质，关联产物选择性与反应动力学行为，构建从制备方法到材料结构再到反应性能的多重构效关系模型；</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（3）系统研究不同结构Co纳米颗粒在真实反应条件下的动态演化机制，重点利用原位/准原位表征技术辨识结构转变的关键诱导条件，阐明活性表面重构的调控策略，并提出提升催化剂稳定性的有效途径。</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开发目标：</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本研究旨在通过可控合成、理论计算与原位表征相结合的多尺度研究方法，阐明Co纳米催化剂的制备-结构-性能之间的内在关联，揭示其在工况下的结构动态演化规律，指导设计具有高活性、高选择性及高稳定性的钴基催化材料。</w:t>
            </w:r>
          </w:p>
        </w:tc>
      </w:tr>
      <w:tr w14:paraId="1A9CFE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40" w:hRule="atLeast"/>
        </w:trPr>
        <w:tc>
          <w:tcPr>
            <w:tcW w:w="10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E95127">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w:t>
            </w:r>
          </w:p>
        </w:tc>
        <w:tc>
          <w:tcPr>
            <w:tcW w:w="23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02FAD7">
            <w:pPr>
              <w:keepNext w:val="0"/>
              <w:keepLines w:val="0"/>
              <w:widowControl/>
              <w:suppressLineNumbers w:val="0"/>
              <w:jc w:val="both"/>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分子筛调控芳烃加氢反应中间体结构辨识及机制研究</w:t>
            </w:r>
          </w:p>
        </w:tc>
        <w:tc>
          <w:tcPr>
            <w:tcW w:w="52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CA83B9">
            <w:pPr>
              <w:keepNext w:val="0"/>
              <w:keepLines w:val="0"/>
              <w:widowControl/>
              <w:suppressLineNumbers w:val="0"/>
              <w:jc w:val="both"/>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芳环加氢是炼油和化工过程的关键反应之一，直接影响产品的结构、质量与过程的经济性。该反应通过将芳环加氢饱和为环烷烃，提升油品质量并满足环保要求，但传统加氢催化剂面临芳烃过度加氢、H</w:t>
            </w:r>
            <w:r>
              <w:rPr>
                <w:rFonts w:hint="default" w:ascii="Times New Roman" w:hAnsi="Times New Roman" w:eastAsia="宋体" w:cs="Times New Roman"/>
                <w:i w:val="0"/>
                <w:iCs w:val="0"/>
                <w:color w:val="000000"/>
                <w:kern w:val="0"/>
                <w:sz w:val="24"/>
                <w:szCs w:val="24"/>
                <w:u w:val="none"/>
                <w:vertAlign w:val="subscript"/>
                <w:lang w:val="en-US" w:eastAsia="zh-CN" w:bidi="ar"/>
              </w:rPr>
              <w:t>2</w:t>
            </w:r>
            <w:r>
              <w:rPr>
                <w:rFonts w:hint="default" w:ascii="Times New Roman" w:hAnsi="Times New Roman" w:eastAsia="宋体" w:cs="Times New Roman"/>
                <w:i w:val="0"/>
                <w:iCs w:val="0"/>
                <w:color w:val="000000"/>
                <w:kern w:val="0"/>
                <w:sz w:val="24"/>
                <w:szCs w:val="24"/>
                <w:u w:val="none"/>
                <w:lang w:val="en-US" w:eastAsia="zh-CN" w:bidi="ar"/>
              </w:rPr>
              <w:t>利用率低的挑战。研究发现，物理混合少量分子筛助剂可显著改变芳环加氢饱和反应的活性与稳定性，比如抑制多环芳烃的深度加氢，提高目标产物选择性，但现有对分子筛影响的研究多聚焦宏观产物分布，缺乏对微观反应中间体动态行为的深入解析，其调控作用机制尚不明确。</w:t>
            </w:r>
          </w:p>
        </w:tc>
        <w:tc>
          <w:tcPr>
            <w:tcW w:w="68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6953D3">
            <w:pPr>
              <w:keepNext w:val="0"/>
              <w:keepLines w:val="0"/>
              <w:widowControl/>
              <w:suppressLineNumbers w:val="0"/>
              <w:jc w:val="both"/>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开发内容：</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（1）以单环芳烃为模型化合物，（准）原位辨识分子筛引入前后在气相中可能以极低浓度存在的关键反应中间体，阐明其生成、吸附、扩散等动态行为；</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（2）系统考察掺入不同孔道结构、不同酸密度及分布特征的分子筛对不同芳烃及混合芳烃加氢饱和速率的影响，测定并比较反应动力学本征参数，阐明分子筛的各类结构因素对中间体气相浓度调控规律；</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（3）调控加氢催化剂结构（原子级分散、团簇、纳米颗粒、合金化），测定关键中间体气相浓度，建立加氢活性位结构、中间体浓度和分子筛调控幅度间的关联。</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开发目标：</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明确酸性分子筛存在下对芳烃加氢活性造成影响的关键气相中间产物结构，揭示分子筛引入对芳烃加氢饱和活性及稳定性的影响机制，提供一套稳态加氢活性连续可调的加氢催化剂-分子筛组合方案</w:t>
            </w:r>
          </w:p>
        </w:tc>
      </w:tr>
      <w:tr w14:paraId="693E24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86" w:hRule="atLeast"/>
        </w:trPr>
        <w:tc>
          <w:tcPr>
            <w:tcW w:w="10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85FD8C">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eastAsia" w:cs="Times New Roman"/>
                <w:i w:val="0"/>
                <w:iCs w:val="0"/>
                <w:color w:val="000000"/>
                <w:kern w:val="0"/>
                <w:sz w:val="24"/>
                <w:szCs w:val="24"/>
                <w:u w:val="none"/>
                <w:lang w:val="en-US" w:eastAsia="zh-CN" w:bidi="ar"/>
              </w:rPr>
              <w:t>7</w:t>
            </w:r>
          </w:p>
        </w:tc>
        <w:tc>
          <w:tcPr>
            <w:tcW w:w="23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C33D77">
            <w:pPr>
              <w:keepNext w:val="0"/>
              <w:keepLines w:val="0"/>
              <w:widowControl/>
              <w:suppressLineNumbers w:val="0"/>
              <w:jc w:val="both"/>
              <w:textAlignment w:val="center"/>
              <w:rPr>
                <w:rFonts w:hint="default" w:ascii="Times New Roman" w:hAnsi="Times New Roman" w:eastAsia="宋体" w:cs="Times New Roman"/>
                <w:i w:val="0"/>
                <w:iCs w:val="0"/>
                <w:color w:val="000000"/>
                <w:sz w:val="24"/>
                <w:szCs w:val="24"/>
                <w:u w:val="none"/>
                <w:lang w:val="en-US" w:eastAsia="zh-CN"/>
              </w:rPr>
            </w:pPr>
            <w:r>
              <w:rPr>
                <w:rFonts w:hint="default" w:ascii="Times New Roman" w:hAnsi="Times New Roman" w:eastAsia="宋体" w:cs="Times New Roman"/>
                <w:i w:val="0"/>
                <w:iCs w:val="0"/>
                <w:color w:val="000000"/>
                <w:sz w:val="24"/>
                <w:szCs w:val="24"/>
                <w:u w:val="none"/>
                <w:lang w:val="en-US" w:eastAsia="zh-CN"/>
              </w:rPr>
              <w:t>基于多模态信号融合的地下隐蔽设施渗漏监测技术研究</w:t>
            </w:r>
          </w:p>
        </w:tc>
        <w:tc>
          <w:tcPr>
            <w:tcW w:w="52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B81A76">
            <w:pPr>
              <w:keepNext w:val="0"/>
              <w:keepLines w:val="0"/>
              <w:widowControl/>
              <w:suppressLineNumbers w:val="0"/>
              <w:jc w:val="both"/>
              <w:textAlignment w:val="center"/>
              <w:rPr>
                <w:rFonts w:hint="default" w:ascii="Times New Roman" w:hAnsi="Times New Roman" w:eastAsia="宋体" w:cs="Times New Roman"/>
                <w:i w:val="0"/>
                <w:iCs w:val="0"/>
                <w:color w:val="000000"/>
                <w:sz w:val="24"/>
                <w:szCs w:val="24"/>
                <w:u w:val="none"/>
                <w:lang w:val="en-US" w:eastAsia="zh-CN"/>
              </w:rPr>
            </w:pPr>
            <w:r>
              <w:rPr>
                <w:rFonts w:hint="eastAsia" w:ascii="Times New Roman" w:hAnsi="Times New Roman" w:eastAsia="宋体" w:cs="Times New Roman"/>
                <w:i w:val="0"/>
                <w:iCs w:val="0"/>
                <w:color w:val="000000"/>
                <w:sz w:val="24"/>
                <w:szCs w:val="24"/>
                <w:u w:val="none"/>
                <w:lang w:val="en-US" w:eastAsia="zh-CN"/>
              </w:rPr>
              <w:t>随着我国化工产业向规模化、精细化升级，化工园区地下隐蔽设施规模持续扩大，其中输送或储存易燃、有毒、腐蚀性介质的设施占比高达</w:t>
            </w:r>
            <w:r>
              <w:rPr>
                <w:rFonts w:hint="default" w:ascii="Times New Roman" w:hAnsi="Times New Roman" w:eastAsia="宋体" w:cs="Times New Roman"/>
                <w:i w:val="0"/>
                <w:iCs w:val="0"/>
                <w:color w:val="000000"/>
                <w:sz w:val="24"/>
                <w:szCs w:val="24"/>
                <w:u w:val="none"/>
                <w:lang w:val="en-US" w:eastAsia="zh-CN"/>
              </w:rPr>
              <w:t>75%-85%</w:t>
            </w:r>
            <w:r>
              <w:rPr>
                <w:rFonts w:hint="eastAsia" w:ascii="Times New Roman" w:hAnsi="Times New Roman" w:eastAsia="宋体" w:cs="Times New Roman"/>
                <w:i w:val="0"/>
                <w:iCs w:val="0"/>
                <w:color w:val="000000"/>
                <w:sz w:val="24"/>
                <w:szCs w:val="24"/>
                <w:u w:val="none"/>
                <w:lang w:val="en-US" w:eastAsia="zh-CN"/>
              </w:rPr>
              <w:t>。该设施长期受介质侵蚀、地质沉降、老化及高温、高湿、化学干扰等复杂工况影响，渗漏、泄漏事故频发，占化工园区事故约</w:t>
            </w:r>
            <w:r>
              <w:rPr>
                <w:rFonts w:hint="default" w:ascii="Times New Roman" w:hAnsi="Times New Roman" w:eastAsia="宋体" w:cs="Times New Roman"/>
                <w:i w:val="0"/>
                <w:iCs w:val="0"/>
                <w:color w:val="000000"/>
                <w:sz w:val="24"/>
                <w:szCs w:val="24"/>
                <w:u w:val="none"/>
                <w:lang w:val="en-US" w:eastAsia="zh-CN"/>
              </w:rPr>
              <w:t>20%-32%</w:t>
            </w:r>
            <w:r>
              <w:rPr>
                <w:rFonts w:hint="eastAsia" w:ascii="Times New Roman" w:hAnsi="Times New Roman" w:eastAsia="宋体" w:cs="Times New Roman"/>
                <w:i w:val="0"/>
                <w:iCs w:val="0"/>
                <w:color w:val="000000"/>
                <w:sz w:val="24"/>
                <w:szCs w:val="24"/>
                <w:u w:val="none"/>
                <w:lang w:val="en-US" w:eastAsia="zh-CN"/>
              </w:rPr>
              <w:t>。因此，开展基于多模态信号融合的渗漏监测研究，突破多物理场干扰下渗漏信号高灵敏感知与隐蔽源精准定位技术，对保障安全生产、降低环境风险具有重要意义。</w:t>
            </w:r>
          </w:p>
        </w:tc>
        <w:tc>
          <w:tcPr>
            <w:tcW w:w="68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BCEC75">
            <w:pPr>
              <w:keepNext w:val="0"/>
              <w:keepLines w:val="0"/>
              <w:widowControl/>
              <w:suppressLineNumbers w:val="0"/>
              <w:jc w:val="both"/>
              <w:textAlignment w:val="center"/>
              <w:rPr>
                <w:rFonts w:hint="default" w:ascii="Times New Roman" w:hAnsi="Times New Roman" w:eastAsia="宋体" w:cs="Times New Roman"/>
                <w:i w:val="0"/>
                <w:iCs w:val="0"/>
                <w:color w:val="000000"/>
                <w:sz w:val="24"/>
                <w:szCs w:val="24"/>
                <w:u w:val="none"/>
                <w:lang w:val="en-US" w:eastAsia="zh-CN"/>
              </w:rPr>
            </w:pPr>
            <w:r>
              <w:rPr>
                <w:rFonts w:hint="eastAsia" w:ascii="Times New Roman" w:hAnsi="Times New Roman" w:eastAsia="宋体" w:cs="Times New Roman"/>
                <w:i w:val="0"/>
                <w:iCs w:val="0"/>
                <w:color w:val="000000"/>
                <w:sz w:val="24"/>
                <w:szCs w:val="24"/>
                <w:u w:val="none"/>
                <w:lang w:val="en-US" w:eastAsia="zh-CN"/>
              </w:rPr>
              <w:t>开发内容：</w:t>
            </w:r>
            <w:r>
              <w:rPr>
                <w:rFonts w:hint="eastAsia" w:ascii="Times New Roman" w:hAnsi="Times New Roman" w:eastAsia="宋体" w:cs="Times New Roman"/>
                <w:i w:val="0"/>
                <w:iCs w:val="0"/>
                <w:color w:val="000000"/>
                <w:sz w:val="24"/>
                <w:szCs w:val="24"/>
                <w:u w:val="none"/>
                <w:lang w:val="en-US" w:eastAsia="zh-CN"/>
              </w:rPr>
              <w:br w:type="textWrapping"/>
            </w:r>
            <w:r>
              <w:rPr>
                <w:rFonts w:hint="eastAsia" w:ascii="Times New Roman" w:hAnsi="Times New Roman" w:eastAsia="宋体" w:cs="Times New Roman"/>
                <w:i w:val="0"/>
                <w:iCs w:val="0"/>
                <w:color w:val="000000"/>
                <w:sz w:val="24"/>
                <w:szCs w:val="24"/>
                <w:u w:val="none"/>
                <w:lang w:val="en-US" w:eastAsia="zh-CN"/>
              </w:rPr>
              <w:t>（1）集成负压波、红外成像、光纤压力、光纤温度及电导率监测等传感技术，建构地下隐蔽设施渗漏监测的标准化数据集；</w:t>
            </w:r>
            <w:r>
              <w:rPr>
                <w:rFonts w:hint="eastAsia" w:ascii="Times New Roman" w:hAnsi="Times New Roman" w:eastAsia="宋体" w:cs="Times New Roman"/>
                <w:i w:val="0"/>
                <w:iCs w:val="0"/>
                <w:color w:val="000000"/>
                <w:sz w:val="24"/>
                <w:szCs w:val="24"/>
                <w:u w:val="none"/>
                <w:lang w:val="en-US" w:eastAsia="zh-CN"/>
              </w:rPr>
              <w:br w:type="textWrapping"/>
            </w:r>
            <w:r>
              <w:rPr>
                <w:rFonts w:hint="eastAsia" w:ascii="Times New Roman" w:hAnsi="Times New Roman" w:eastAsia="宋体" w:cs="Times New Roman"/>
                <w:i w:val="0"/>
                <w:iCs w:val="0"/>
                <w:color w:val="000000"/>
                <w:sz w:val="24"/>
                <w:szCs w:val="24"/>
                <w:u w:val="none"/>
                <w:lang w:val="en-US" w:eastAsia="zh-CN"/>
              </w:rPr>
              <w:t>（2）研究基于多模态信号融合的地下隐蔽设施异常监测预警方法，实现地下隐蔽设施渗漏风险等级的自动判别。</w:t>
            </w:r>
            <w:r>
              <w:rPr>
                <w:rFonts w:hint="eastAsia" w:ascii="Times New Roman" w:hAnsi="Times New Roman" w:eastAsia="宋体" w:cs="Times New Roman"/>
                <w:i w:val="0"/>
                <w:iCs w:val="0"/>
                <w:color w:val="000000"/>
                <w:sz w:val="24"/>
                <w:szCs w:val="24"/>
                <w:u w:val="none"/>
                <w:lang w:val="en-US" w:eastAsia="zh-CN"/>
              </w:rPr>
              <w:br w:type="textWrapping"/>
            </w:r>
            <w:r>
              <w:rPr>
                <w:rFonts w:hint="eastAsia" w:ascii="Times New Roman" w:hAnsi="Times New Roman" w:eastAsia="宋体" w:cs="Times New Roman"/>
                <w:i w:val="0"/>
                <w:iCs w:val="0"/>
                <w:color w:val="000000"/>
                <w:sz w:val="24"/>
                <w:szCs w:val="24"/>
                <w:u w:val="none"/>
                <w:lang w:val="en-US" w:eastAsia="zh-CN"/>
              </w:rPr>
              <w:t>（3）融合多模态数据进行渗漏源逆向溯源研究，研究基于优化贝叶斯的渗漏融合定位算法，。</w:t>
            </w:r>
            <w:r>
              <w:rPr>
                <w:rFonts w:hint="eastAsia" w:ascii="Times New Roman" w:hAnsi="Times New Roman" w:eastAsia="宋体" w:cs="Times New Roman"/>
                <w:i w:val="0"/>
                <w:iCs w:val="0"/>
                <w:color w:val="000000"/>
                <w:sz w:val="24"/>
                <w:szCs w:val="24"/>
                <w:u w:val="none"/>
                <w:lang w:val="en-US" w:eastAsia="zh-CN"/>
              </w:rPr>
              <w:br w:type="textWrapping"/>
            </w:r>
            <w:r>
              <w:rPr>
                <w:rFonts w:hint="eastAsia" w:ascii="Times New Roman" w:hAnsi="Times New Roman" w:eastAsia="宋体" w:cs="Times New Roman"/>
                <w:i w:val="0"/>
                <w:iCs w:val="0"/>
                <w:color w:val="000000"/>
                <w:sz w:val="24"/>
                <w:szCs w:val="24"/>
                <w:u w:val="none"/>
                <w:lang w:val="en-US" w:eastAsia="zh-CN"/>
              </w:rPr>
              <w:t>考核指标：</w:t>
            </w:r>
            <w:r>
              <w:rPr>
                <w:rFonts w:hint="eastAsia" w:ascii="Times New Roman" w:hAnsi="Times New Roman" w:eastAsia="宋体" w:cs="Times New Roman"/>
                <w:i w:val="0"/>
                <w:iCs w:val="0"/>
                <w:color w:val="000000"/>
                <w:sz w:val="24"/>
                <w:szCs w:val="24"/>
                <w:u w:val="none"/>
                <w:lang w:val="en-US" w:eastAsia="zh-CN"/>
              </w:rPr>
              <w:br w:type="textWrapping"/>
            </w:r>
            <w:r>
              <w:rPr>
                <w:rFonts w:hint="eastAsia" w:ascii="Times New Roman" w:hAnsi="Times New Roman" w:eastAsia="宋体" w:cs="Times New Roman"/>
                <w:i w:val="0"/>
                <w:iCs w:val="0"/>
                <w:color w:val="000000"/>
                <w:sz w:val="24"/>
                <w:szCs w:val="24"/>
                <w:u w:val="none"/>
                <w:lang w:val="en-US" w:eastAsia="zh-CN"/>
              </w:rPr>
              <w:t>（1）多模态数据融合的渗漏精准识别与定位技术1套</w:t>
            </w:r>
            <w:r>
              <w:rPr>
                <w:rFonts w:hint="eastAsia" w:ascii="Times New Roman" w:hAnsi="Times New Roman" w:eastAsia="宋体" w:cs="Times New Roman"/>
                <w:i w:val="0"/>
                <w:iCs w:val="0"/>
                <w:color w:val="000000"/>
                <w:sz w:val="24"/>
                <w:szCs w:val="24"/>
                <w:u w:val="none"/>
                <w:lang w:val="en-US" w:eastAsia="zh-CN"/>
              </w:rPr>
              <w:br w:type="textWrapping"/>
            </w:r>
            <w:r>
              <w:rPr>
                <w:rFonts w:hint="eastAsia" w:ascii="Times New Roman" w:hAnsi="Times New Roman" w:eastAsia="宋体" w:cs="Times New Roman"/>
                <w:i w:val="0"/>
                <w:iCs w:val="0"/>
                <w:color w:val="000000"/>
                <w:sz w:val="24"/>
                <w:szCs w:val="24"/>
                <w:u w:val="none"/>
                <w:lang w:val="en-US" w:eastAsia="zh-CN"/>
              </w:rPr>
              <w:t>（2）渗漏信号融合诊断模型检出率&gt;90%。</w:t>
            </w:r>
            <w:r>
              <w:rPr>
                <w:rFonts w:hint="eastAsia" w:ascii="Times New Roman" w:hAnsi="Times New Roman" w:eastAsia="宋体" w:cs="Times New Roman"/>
                <w:i w:val="0"/>
                <w:iCs w:val="0"/>
                <w:color w:val="000000"/>
                <w:sz w:val="24"/>
                <w:szCs w:val="24"/>
                <w:u w:val="none"/>
                <w:lang w:val="en-US" w:eastAsia="zh-CN"/>
              </w:rPr>
              <w:br w:type="textWrapping"/>
            </w:r>
            <w:r>
              <w:rPr>
                <w:rFonts w:hint="eastAsia" w:ascii="Times New Roman" w:hAnsi="Times New Roman" w:eastAsia="宋体" w:cs="Times New Roman"/>
                <w:i w:val="0"/>
                <w:iCs w:val="0"/>
                <w:color w:val="000000"/>
                <w:sz w:val="24"/>
                <w:szCs w:val="24"/>
                <w:u w:val="none"/>
                <w:lang w:val="en-US" w:eastAsia="zh-CN"/>
              </w:rPr>
              <w:t>（3）发表SCI论文1篇及以上。</w:t>
            </w:r>
          </w:p>
        </w:tc>
      </w:tr>
      <w:tr w14:paraId="190E51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71" w:hRule="atLeast"/>
        </w:trPr>
        <w:tc>
          <w:tcPr>
            <w:tcW w:w="10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A04A79">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lang w:val="en-US" w:eastAsia="zh-CN"/>
              </w:rPr>
            </w:pPr>
            <w:r>
              <w:rPr>
                <w:rFonts w:hint="eastAsia" w:cs="Times New Roman"/>
                <w:i w:val="0"/>
                <w:iCs w:val="0"/>
                <w:color w:val="000000"/>
                <w:sz w:val="24"/>
                <w:szCs w:val="24"/>
                <w:u w:val="none"/>
                <w:lang w:val="en-US" w:eastAsia="zh-CN"/>
              </w:rPr>
              <w:t>8</w:t>
            </w:r>
          </w:p>
        </w:tc>
        <w:tc>
          <w:tcPr>
            <w:tcW w:w="23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CDBE7C">
            <w:pPr>
              <w:keepNext w:val="0"/>
              <w:keepLines w:val="0"/>
              <w:widowControl/>
              <w:suppressLineNumbers w:val="0"/>
              <w:jc w:val="both"/>
              <w:textAlignment w:val="center"/>
              <w:rPr>
                <w:rFonts w:hint="default" w:ascii="Times New Roman" w:hAnsi="Times New Roman" w:eastAsia="宋体" w:cs="Times New Roman"/>
                <w:i w:val="0"/>
                <w:iCs w:val="0"/>
                <w:color w:val="000000"/>
                <w:sz w:val="24"/>
                <w:szCs w:val="24"/>
                <w:u w:val="none"/>
                <w:lang w:val="en-US" w:eastAsia="zh-CN"/>
              </w:rPr>
            </w:pPr>
            <w:r>
              <w:rPr>
                <w:rFonts w:hint="eastAsia" w:ascii="Times New Roman" w:hAnsi="Times New Roman" w:eastAsia="宋体" w:cs="Times New Roman"/>
                <w:i w:val="0"/>
                <w:iCs w:val="0"/>
                <w:color w:val="000000"/>
                <w:sz w:val="24"/>
                <w:szCs w:val="24"/>
                <w:u w:val="none"/>
                <w:lang w:val="en-US" w:eastAsia="zh-CN"/>
              </w:rPr>
              <w:t>基于具身智能的管线渗泄漏风险识别系统研究</w:t>
            </w:r>
          </w:p>
        </w:tc>
        <w:tc>
          <w:tcPr>
            <w:tcW w:w="52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F41CF3">
            <w:pPr>
              <w:keepNext w:val="0"/>
              <w:keepLines w:val="0"/>
              <w:widowControl/>
              <w:suppressLineNumbers w:val="0"/>
              <w:jc w:val="both"/>
              <w:textAlignment w:val="center"/>
              <w:rPr>
                <w:rFonts w:hint="default" w:ascii="Times New Roman" w:hAnsi="Times New Roman" w:eastAsia="宋体" w:cs="Times New Roman"/>
                <w:i w:val="0"/>
                <w:iCs w:val="0"/>
                <w:color w:val="000000"/>
                <w:sz w:val="24"/>
                <w:szCs w:val="24"/>
                <w:u w:val="none"/>
                <w:lang w:val="en-US" w:eastAsia="zh-CN"/>
              </w:rPr>
            </w:pPr>
            <w:r>
              <w:rPr>
                <w:rFonts w:hint="eastAsia" w:ascii="Times New Roman" w:hAnsi="Times New Roman" w:eastAsia="宋体" w:cs="Times New Roman"/>
                <w:i w:val="0"/>
                <w:iCs w:val="0"/>
                <w:color w:val="000000"/>
                <w:sz w:val="24"/>
                <w:szCs w:val="24"/>
                <w:u w:val="none"/>
                <w:lang w:val="en-US" w:eastAsia="zh-CN"/>
              </w:rPr>
              <w:t>我国在产石化企业管线总长超过</w:t>
            </w:r>
            <w:r>
              <w:rPr>
                <w:rFonts w:hint="default" w:ascii="Times New Roman" w:hAnsi="Times New Roman" w:eastAsia="宋体" w:cs="Times New Roman"/>
                <w:i w:val="0"/>
                <w:iCs w:val="0"/>
                <w:color w:val="000000"/>
                <w:sz w:val="24"/>
                <w:szCs w:val="24"/>
                <w:u w:val="none"/>
                <w:lang w:val="en-US" w:eastAsia="zh-CN"/>
              </w:rPr>
              <w:t>14</w:t>
            </w:r>
            <w:r>
              <w:rPr>
                <w:rFonts w:hint="eastAsia" w:ascii="Times New Roman" w:hAnsi="Times New Roman" w:eastAsia="宋体" w:cs="Times New Roman"/>
                <w:i w:val="0"/>
                <w:iCs w:val="0"/>
                <w:color w:val="000000"/>
                <w:sz w:val="24"/>
                <w:szCs w:val="24"/>
                <w:u w:val="none"/>
                <w:lang w:val="en-US" w:eastAsia="zh-CN"/>
              </w:rPr>
              <w:t>万千米，</w:t>
            </w:r>
            <w:r>
              <w:rPr>
                <w:rFonts w:hint="default" w:ascii="Times New Roman" w:hAnsi="Times New Roman" w:eastAsia="宋体" w:cs="Times New Roman"/>
                <w:i w:val="0"/>
                <w:iCs w:val="0"/>
                <w:color w:val="000000"/>
                <w:sz w:val="24"/>
                <w:szCs w:val="24"/>
                <w:u w:val="none"/>
                <w:lang w:val="en-US" w:eastAsia="zh-CN"/>
              </w:rPr>
              <w:t xml:space="preserve">2023 </w:t>
            </w:r>
            <w:r>
              <w:rPr>
                <w:rFonts w:hint="eastAsia" w:ascii="Times New Roman" w:hAnsi="Times New Roman" w:eastAsia="宋体" w:cs="Times New Roman"/>
                <w:i w:val="0"/>
                <w:iCs w:val="0"/>
                <w:color w:val="000000"/>
                <w:sz w:val="24"/>
                <w:szCs w:val="24"/>
                <w:u w:val="none"/>
                <w:lang w:val="en-US" w:eastAsia="zh-CN"/>
              </w:rPr>
              <w:t>年应急管理部统计的</w:t>
            </w:r>
            <w:r>
              <w:rPr>
                <w:rFonts w:hint="default" w:ascii="Times New Roman" w:hAnsi="Times New Roman" w:eastAsia="宋体" w:cs="Times New Roman"/>
                <w:i w:val="0"/>
                <w:iCs w:val="0"/>
                <w:color w:val="000000"/>
                <w:sz w:val="24"/>
                <w:szCs w:val="24"/>
                <w:u w:val="none"/>
                <w:lang w:val="en-US" w:eastAsia="zh-CN"/>
              </w:rPr>
              <w:t xml:space="preserve"> 127 </w:t>
            </w:r>
            <w:r>
              <w:rPr>
                <w:rFonts w:hint="eastAsia" w:ascii="Times New Roman" w:hAnsi="Times New Roman" w:eastAsia="宋体" w:cs="Times New Roman"/>
                <w:i w:val="0"/>
                <w:iCs w:val="0"/>
                <w:color w:val="000000"/>
                <w:sz w:val="24"/>
                <w:szCs w:val="24"/>
                <w:u w:val="none"/>
                <w:lang w:val="en-US" w:eastAsia="zh-CN"/>
              </w:rPr>
              <w:t>起泄漏事故中，</w:t>
            </w:r>
            <w:r>
              <w:rPr>
                <w:rFonts w:hint="default" w:ascii="Times New Roman" w:hAnsi="Times New Roman" w:eastAsia="宋体" w:cs="Times New Roman"/>
                <w:i w:val="0"/>
                <w:iCs w:val="0"/>
                <w:color w:val="000000"/>
                <w:sz w:val="24"/>
                <w:szCs w:val="24"/>
                <w:u w:val="none"/>
                <w:lang w:val="en-US" w:eastAsia="zh-CN"/>
              </w:rPr>
              <w:t>78 %</w:t>
            </w:r>
            <w:r>
              <w:rPr>
                <w:rFonts w:hint="eastAsia" w:ascii="Times New Roman" w:hAnsi="Times New Roman" w:eastAsia="宋体" w:cs="Times New Roman"/>
                <w:i w:val="0"/>
                <w:iCs w:val="0"/>
                <w:color w:val="000000"/>
                <w:sz w:val="24"/>
                <w:szCs w:val="24"/>
                <w:u w:val="none"/>
                <w:lang w:val="en-US" w:eastAsia="zh-CN"/>
              </w:rPr>
              <w:t>因响应滞后导致险情升级，泄漏点发现时间延迟中位数</w:t>
            </w:r>
            <w:r>
              <w:rPr>
                <w:rFonts w:hint="default" w:ascii="Times New Roman" w:hAnsi="Times New Roman" w:eastAsia="宋体" w:cs="Times New Roman"/>
                <w:i w:val="0"/>
                <w:iCs w:val="0"/>
                <w:color w:val="000000"/>
                <w:sz w:val="24"/>
                <w:szCs w:val="24"/>
                <w:u w:val="none"/>
                <w:lang w:val="en-US" w:eastAsia="zh-CN"/>
              </w:rPr>
              <w:t xml:space="preserve">38 </w:t>
            </w:r>
            <w:r>
              <w:rPr>
                <w:rFonts w:hint="eastAsia" w:ascii="Times New Roman" w:hAnsi="Times New Roman" w:eastAsia="宋体" w:cs="Times New Roman"/>
                <w:i w:val="0"/>
                <w:iCs w:val="0"/>
                <w:color w:val="000000"/>
                <w:sz w:val="24"/>
                <w:szCs w:val="24"/>
                <w:u w:val="none"/>
                <w:lang w:val="en-US" w:eastAsia="zh-CN"/>
              </w:rPr>
              <w:t>分钟，明显滞后于国际先进水平的</w:t>
            </w:r>
            <w:r>
              <w:rPr>
                <w:rFonts w:hint="default" w:ascii="Times New Roman" w:hAnsi="Times New Roman" w:eastAsia="宋体" w:cs="Times New Roman"/>
                <w:i w:val="0"/>
                <w:iCs w:val="0"/>
                <w:color w:val="000000"/>
                <w:sz w:val="24"/>
                <w:szCs w:val="24"/>
                <w:u w:val="none"/>
                <w:lang w:val="en-US" w:eastAsia="zh-CN"/>
              </w:rPr>
              <w:t>2.1</w:t>
            </w:r>
            <w:r>
              <w:rPr>
                <w:rFonts w:hint="eastAsia" w:ascii="Times New Roman" w:hAnsi="Times New Roman" w:eastAsia="宋体" w:cs="Times New Roman"/>
                <w:i w:val="0"/>
                <w:iCs w:val="0"/>
                <w:color w:val="000000"/>
                <w:sz w:val="24"/>
                <w:szCs w:val="24"/>
                <w:u w:val="none"/>
                <w:lang w:val="en-US" w:eastAsia="zh-CN"/>
              </w:rPr>
              <w:t>分钟。因此，亟需开展基于具身智能自主巡检的多源感知与风险识别技术，构建高效的管线渗泄漏智能巡检与风险评估体系，实现泄漏快速识别与风险定量判定，提升企业安全与环境风险防控水平。</w:t>
            </w:r>
          </w:p>
        </w:tc>
        <w:tc>
          <w:tcPr>
            <w:tcW w:w="68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56EC2A">
            <w:pPr>
              <w:keepNext w:val="0"/>
              <w:keepLines w:val="0"/>
              <w:widowControl/>
              <w:suppressLineNumbers w:val="0"/>
              <w:jc w:val="both"/>
              <w:textAlignment w:val="center"/>
              <w:rPr>
                <w:rFonts w:hint="default" w:ascii="Times New Roman" w:hAnsi="Times New Roman" w:eastAsia="宋体" w:cs="Times New Roman"/>
                <w:i w:val="0"/>
                <w:iCs w:val="0"/>
                <w:color w:val="000000"/>
                <w:sz w:val="24"/>
                <w:szCs w:val="24"/>
                <w:u w:val="none"/>
                <w:lang w:val="en-US" w:eastAsia="zh-CN"/>
              </w:rPr>
            </w:pPr>
            <w:r>
              <w:rPr>
                <w:rFonts w:hint="eastAsia" w:ascii="Times New Roman" w:hAnsi="Times New Roman" w:eastAsia="宋体" w:cs="Times New Roman"/>
                <w:i w:val="0"/>
                <w:iCs w:val="0"/>
                <w:color w:val="000000"/>
                <w:sz w:val="24"/>
                <w:szCs w:val="24"/>
                <w:u w:val="none"/>
                <w:lang w:val="en-US" w:eastAsia="zh-CN"/>
              </w:rPr>
              <w:t>开发内容：</w:t>
            </w:r>
            <w:r>
              <w:rPr>
                <w:rFonts w:hint="default" w:ascii="Times New Roman" w:hAnsi="Times New Roman" w:eastAsia="宋体" w:cs="Times New Roman"/>
                <w:i w:val="0"/>
                <w:iCs w:val="0"/>
                <w:color w:val="000000"/>
                <w:sz w:val="24"/>
                <w:szCs w:val="24"/>
                <w:u w:val="none"/>
                <w:lang w:val="en-US" w:eastAsia="zh-CN"/>
              </w:rPr>
              <w:br w:type="textWrapping"/>
            </w:r>
            <w:r>
              <w:rPr>
                <w:rFonts w:hint="eastAsia" w:ascii="Times New Roman" w:hAnsi="Times New Roman" w:eastAsia="宋体" w:cs="Times New Roman"/>
                <w:i w:val="0"/>
                <w:iCs w:val="0"/>
                <w:color w:val="000000"/>
                <w:sz w:val="24"/>
                <w:szCs w:val="24"/>
                <w:u w:val="none"/>
                <w:lang w:val="en-US" w:eastAsia="zh-CN"/>
              </w:rPr>
              <w:t>（</w:t>
            </w:r>
            <w:r>
              <w:rPr>
                <w:rFonts w:hint="default" w:ascii="Times New Roman" w:hAnsi="Times New Roman" w:eastAsia="宋体" w:cs="Times New Roman"/>
                <w:i w:val="0"/>
                <w:iCs w:val="0"/>
                <w:color w:val="000000"/>
                <w:sz w:val="24"/>
                <w:szCs w:val="24"/>
                <w:u w:val="none"/>
                <w:lang w:val="en-US" w:eastAsia="zh-CN"/>
              </w:rPr>
              <w:t>1</w:t>
            </w:r>
            <w:r>
              <w:rPr>
                <w:rFonts w:hint="eastAsia" w:ascii="Times New Roman" w:hAnsi="Times New Roman" w:eastAsia="宋体" w:cs="Times New Roman"/>
                <w:i w:val="0"/>
                <w:iCs w:val="0"/>
                <w:color w:val="000000"/>
                <w:sz w:val="24"/>
                <w:szCs w:val="24"/>
                <w:u w:val="none"/>
                <w:lang w:val="en-US" w:eastAsia="zh-CN"/>
              </w:rPr>
              <w:t>）开发基于具身智能的管线渗泄漏风险识别系统，建设相应的系统验证平台；</w:t>
            </w:r>
            <w:r>
              <w:rPr>
                <w:rFonts w:hint="default" w:ascii="Times New Roman" w:hAnsi="Times New Roman" w:eastAsia="宋体" w:cs="Times New Roman"/>
                <w:i w:val="0"/>
                <w:iCs w:val="0"/>
                <w:color w:val="000000"/>
                <w:sz w:val="24"/>
                <w:szCs w:val="24"/>
                <w:u w:val="none"/>
                <w:lang w:val="en-US" w:eastAsia="zh-CN"/>
              </w:rPr>
              <w:br w:type="textWrapping"/>
            </w:r>
            <w:r>
              <w:rPr>
                <w:rFonts w:hint="eastAsia" w:ascii="Times New Roman" w:hAnsi="Times New Roman" w:eastAsia="宋体" w:cs="Times New Roman"/>
                <w:i w:val="0"/>
                <w:iCs w:val="0"/>
                <w:color w:val="000000"/>
                <w:sz w:val="24"/>
                <w:szCs w:val="24"/>
                <w:u w:val="none"/>
                <w:lang w:val="en-US" w:eastAsia="zh-CN"/>
              </w:rPr>
              <w:t>（</w:t>
            </w:r>
            <w:r>
              <w:rPr>
                <w:rFonts w:hint="default" w:ascii="Times New Roman" w:hAnsi="Times New Roman" w:eastAsia="宋体" w:cs="Times New Roman"/>
                <w:i w:val="0"/>
                <w:iCs w:val="0"/>
                <w:color w:val="000000"/>
                <w:sz w:val="24"/>
                <w:szCs w:val="24"/>
                <w:u w:val="none"/>
                <w:lang w:val="en-US" w:eastAsia="zh-CN"/>
              </w:rPr>
              <w:t>2</w:t>
            </w:r>
            <w:r>
              <w:rPr>
                <w:rFonts w:hint="eastAsia" w:ascii="Times New Roman" w:hAnsi="Times New Roman" w:eastAsia="宋体" w:cs="Times New Roman"/>
                <w:i w:val="0"/>
                <w:iCs w:val="0"/>
                <w:color w:val="000000"/>
                <w:sz w:val="24"/>
                <w:szCs w:val="24"/>
                <w:u w:val="none"/>
                <w:lang w:val="en-US" w:eastAsia="zh-CN"/>
              </w:rPr>
              <w:t>）开发适配管线渗泄漏风险识别系统的具身智能感知与计算模块；结合无人机与机械狗载具，开展不同风场条件、巡检路径及运行参数条件下的系统性能测试，优化自主巡线与泄漏识别工艺参数；</w:t>
            </w:r>
            <w:r>
              <w:rPr>
                <w:rFonts w:hint="default" w:ascii="Times New Roman" w:hAnsi="Times New Roman" w:eastAsia="宋体" w:cs="Times New Roman"/>
                <w:i w:val="0"/>
                <w:iCs w:val="0"/>
                <w:color w:val="000000"/>
                <w:sz w:val="24"/>
                <w:szCs w:val="24"/>
                <w:u w:val="none"/>
                <w:lang w:val="en-US" w:eastAsia="zh-CN"/>
              </w:rPr>
              <w:br w:type="textWrapping"/>
            </w:r>
            <w:r>
              <w:rPr>
                <w:rFonts w:hint="eastAsia" w:ascii="Times New Roman" w:hAnsi="Times New Roman" w:eastAsia="宋体" w:cs="Times New Roman"/>
                <w:i w:val="0"/>
                <w:iCs w:val="0"/>
                <w:color w:val="000000"/>
                <w:sz w:val="24"/>
                <w:szCs w:val="24"/>
                <w:u w:val="none"/>
                <w:lang w:val="en-US" w:eastAsia="zh-CN"/>
              </w:rPr>
              <w:t>（</w:t>
            </w:r>
            <w:r>
              <w:rPr>
                <w:rFonts w:hint="default" w:ascii="Times New Roman" w:hAnsi="Times New Roman" w:eastAsia="宋体" w:cs="Times New Roman"/>
                <w:i w:val="0"/>
                <w:iCs w:val="0"/>
                <w:color w:val="000000"/>
                <w:sz w:val="24"/>
                <w:szCs w:val="24"/>
                <w:u w:val="none"/>
                <w:lang w:val="en-US" w:eastAsia="zh-CN"/>
              </w:rPr>
              <w:t>3</w:t>
            </w:r>
            <w:r>
              <w:rPr>
                <w:rFonts w:hint="eastAsia" w:ascii="Times New Roman" w:hAnsi="Times New Roman" w:eastAsia="宋体" w:cs="Times New Roman"/>
                <w:i w:val="0"/>
                <w:iCs w:val="0"/>
                <w:color w:val="000000"/>
                <w:sz w:val="24"/>
                <w:szCs w:val="24"/>
                <w:u w:val="none"/>
                <w:lang w:val="en-US" w:eastAsia="zh-CN"/>
              </w:rPr>
              <w:t>）基于高光谱与红外成像技术，结合物理信息神经网络方法，开展泄漏组分扩散模拟与风险判定研究，形成管线渗泄漏环境与安全风险识别方法。</w:t>
            </w:r>
            <w:r>
              <w:rPr>
                <w:rFonts w:hint="default" w:ascii="Times New Roman" w:hAnsi="Times New Roman" w:eastAsia="宋体" w:cs="Times New Roman"/>
                <w:i w:val="0"/>
                <w:iCs w:val="0"/>
                <w:color w:val="000000"/>
                <w:sz w:val="24"/>
                <w:szCs w:val="24"/>
                <w:u w:val="none"/>
                <w:lang w:val="en-US" w:eastAsia="zh-CN"/>
              </w:rPr>
              <w:br w:type="textWrapping"/>
            </w:r>
            <w:r>
              <w:rPr>
                <w:rFonts w:hint="eastAsia" w:ascii="Times New Roman" w:hAnsi="Times New Roman" w:eastAsia="宋体" w:cs="Times New Roman"/>
                <w:i w:val="0"/>
                <w:iCs w:val="0"/>
                <w:color w:val="000000"/>
                <w:sz w:val="24"/>
                <w:szCs w:val="24"/>
                <w:u w:val="none"/>
                <w:lang w:val="en-US" w:eastAsia="zh-CN"/>
              </w:rPr>
              <w:t>考核指标：</w:t>
            </w:r>
            <w:r>
              <w:rPr>
                <w:rFonts w:hint="default" w:ascii="Times New Roman" w:hAnsi="Times New Roman" w:eastAsia="宋体" w:cs="Times New Roman"/>
                <w:i w:val="0"/>
                <w:iCs w:val="0"/>
                <w:color w:val="000000"/>
                <w:sz w:val="24"/>
                <w:szCs w:val="24"/>
                <w:u w:val="none"/>
                <w:lang w:val="en-US" w:eastAsia="zh-CN"/>
              </w:rPr>
              <w:br w:type="textWrapping"/>
            </w:r>
            <w:r>
              <w:rPr>
                <w:rFonts w:hint="eastAsia" w:ascii="Times New Roman" w:hAnsi="Times New Roman" w:eastAsia="宋体" w:cs="Times New Roman"/>
                <w:i w:val="0"/>
                <w:iCs w:val="0"/>
                <w:color w:val="000000"/>
                <w:sz w:val="24"/>
                <w:szCs w:val="24"/>
                <w:u w:val="none"/>
                <w:lang w:val="en-US" w:eastAsia="zh-CN"/>
              </w:rPr>
              <w:t>开发基于具身智能的管线渗泄漏风险识别技术</w:t>
            </w:r>
            <w:r>
              <w:rPr>
                <w:rFonts w:hint="default" w:ascii="Times New Roman" w:hAnsi="Times New Roman" w:eastAsia="宋体" w:cs="Times New Roman"/>
                <w:i w:val="0"/>
                <w:iCs w:val="0"/>
                <w:color w:val="000000"/>
                <w:sz w:val="24"/>
                <w:szCs w:val="24"/>
                <w:u w:val="none"/>
                <w:lang w:val="en-US" w:eastAsia="zh-CN"/>
              </w:rPr>
              <w:t>1</w:t>
            </w:r>
            <w:r>
              <w:rPr>
                <w:rFonts w:hint="eastAsia" w:ascii="Times New Roman" w:hAnsi="Times New Roman" w:eastAsia="宋体" w:cs="Times New Roman"/>
                <w:i w:val="0"/>
                <w:iCs w:val="0"/>
                <w:color w:val="000000"/>
                <w:sz w:val="24"/>
                <w:szCs w:val="24"/>
                <w:u w:val="none"/>
                <w:lang w:val="en-US" w:eastAsia="zh-CN"/>
              </w:rPr>
              <w:t>套，系统监测响应速度较现有方法提升</w:t>
            </w:r>
            <w:r>
              <w:rPr>
                <w:rFonts w:hint="default" w:ascii="Times New Roman" w:hAnsi="Times New Roman" w:eastAsia="宋体" w:cs="Times New Roman"/>
                <w:i w:val="0"/>
                <w:iCs w:val="0"/>
                <w:color w:val="000000"/>
                <w:sz w:val="24"/>
                <w:szCs w:val="24"/>
                <w:u w:val="none"/>
                <w:lang w:val="en-US" w:eastAsia="zh-CN"/>
              </w:rPr>
              <w:t>10%</w:t>
            </w:r>
            <w:r>
              <w:rPr>
                <w:rFonts w:hint="eastAsia" w:ascii="Times New Roman" w:hAnsi="Times New Roman" w:eastAsia="宋体" w:cs="Times New Roman"/>
                <w:i w:val="0"/>
                <w:iCs w:val="0"/>
                <w:color w:val="000000"/>
                <w:sz w:val="24"/>
                <w:szCs w:val="24"/>
                <w:u w:val="none"/>
                <w:lang w:val="en-US" w:eastAsia="zh-CN"/>
              </w:rPr>
              <w:t>以上；形成具备自主巡线与风险识别功能的具身智能装备</w:t>
            </w:r>
            <w:r>
              <w:rPr>
                <w:rFonts w:hint="default" w:ascii="Times New Roman" w:hAnsi="Times New Roman" w:eastAsia="宋体" w:cs="Times New Roman"/>
                <w:i w:val="0"/>
                <w:iCs w:val="0"/>
                <w:color w:val="000000"/>
                <w:sz w:val="24"/>
                <w:szCs w:val="24"/>
                <w:u w:val="none"/>
                <w:lang w:val="en-US" w:eastAsia="zh-CN"/>
              </w:rPr>
              <w:t>1</w:t>
            </w:r>
            <w:r>
              <w:rPr>
                <w:rFonts w:hint="eastAsia" w:ascii="Times New Roman" w:hAnsi="Times New Roman" w:eastAsia="宋体" w:cs="Times New Roman"/>
                <w:i w:val="0"/>
                <w:iCs w:val="0"/>
                <w:color w:val="000000"/>
                <w:sz w:val="24"/>
                <w:szCs w:val="24"/>
                <w:u w:val="none"/>
                <w:lang w:val="en-US" w:eastAsia="zh-CN"/>
              </w:rPr>
              <w:t>套。</w:t>
            </w:r>
          </w:p>
        </w:tc>
      </w:tr>
      <w:tr w14:paraId="6F121A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01" w:hRule="atLeast"/>
        </w:trPr>
        <w:tc>
          <w:tcPr>
            <w:tcW w:w="10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C5BA7A">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lang w:val="en-US" w:eastAsia="zh-CN"/>
              </w:rPr>
            </w:pPr>
            <w:r>
              <w:rPr>
                <w:rFonts w:hint="eastAsia" w:cs="Times New Roman"/>
                <w:i w:val="0"/>
                <w:iCs w:val="0"/>
                <w:color w:val="000000"/>
                <w:sz w:val="24"/>
                <w:szCs w:val="24"/>
                <w:u w:val="none"/>
                <w:lang w:val="en-US" w:eastAsia="zh-CN"/>
              </w:rPr>
              <w:t>9</w:t>
            </w:r>
          </w:p>
        </w:tc>
        <w:tc>
          <w:tcPr>
            <w:tcW w:w="23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CEA3CE">
            <w:pPr>
              <w:keepNext w:val="0"/>
              <w:keepLines w:val="0"/>
              <w:widowControl/>
              <w:suppressLineNumbers w:val="0"/>
              <w:jc w:val="both"/>
              <w:textAlignment w:val="center"/>
              <w:rPr>
                <w:rFonts w:hint="default" w:ascii="Times New Roman" w:hAnsi="Times New Roman" w:eastAsia="宋体" w:cs="Times New Roman"/>
                <w:i w:val="0"/>
                <w:iCs w:val="0"/>
                <w:color w:val="000000"/>
                <w:sz w:val="24"/>
                <w:szCs w:val="24"/>
                <w:u w:val="none"/>
                <w:lang w:val="en-US" w:eastAsia="zh-CN"/>
              </w:rPr>
            </w:pPr>
            <w:r>
              <w:rPr>
                <w:rFonts w:hint="eastAsia" w:ascii="Times New Roman" w:hAnsi="Times New Roman" w:eastAsia="宋体" w:cs="Times New Roman"/>
                <w:i w:val="0"/>
                <w:iCs w:val="0"/>
                <w:color w:val="000000"/>
                <w:sz w:val="24"/>
                <w:szCs w:val="24"/>
                <w:u w:val="none"/>
                <w:lang w:val="en-US" w:eastAsia="zh-CN"/>
              </w:rPr>
              <w:t>典型石化企业复合污染自然衰减过程模拟及风险扩散预测研究</w:t>
            </w:r>
            <w:r>
              <w:rPr>
                <w:rFonts w:hint="default" w:ascii="Times New Roman" w:hAnsi="Times New Roman" w:eastAsia="宋体" w:cs="Times New Roman"/>
                <w:i w:val="0"/>
                <w:iCs w:val="0"/>
                <w:color w:val="000000"/>
                <w:sz w:val="24"/>
                <w:szCs w:val="24"/>
                <w:u w:val="none"/>
                <w:lang w:val="en-US" w:eastAsia="zh-CN"/>
              </w:rPr>
              <w:t xml:space="preserve"> </w:t>
            </w:r>
          </w:p>
        </w:tc>
        <w:tc>
          <w:tcPr>
            <w:tcW w:w="52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A01D40">
            <w:pPr>
              <w:keepNext w:val="0"/>
              <w:keepLines w:val="0"/>
              <w:widowControl/>
              <w:suppressLineNumbers w:val="0"/>
              <w:jc w:val="both"/>
              <w:textAlignment w:val="center"/>
              <w:rPr>
                <w:rFonts w:hint="default" w:ascii="Times New Roman" w:hAnsi="Times New Roman" w:eastAsia="宋体" w:cs="Times New Roman"/>
                <w:i w:val="0"/>
                <w:iCs w:val="0"/>
                <w:color w:val="000000"/>
                <w:sz w:val="24"/>
                <w:szCs w:val="24"/>
                <w:u w:val="none"/>
                <w:lang w:val="en-US" w:eastAsia="zh-CN"/>
              </w:rPr>
            </w:pPr>
            <w:r>
              <w:rPr>
                <w:rFonts w:hint="eastAsia" w:ascii="Times New Roman" w:hAnsi="Times New Roman" w:eastAsia="宋体" w:cs="Times New Roman"/>
                <w:i w:val="0"/>
                <w:iCs w:val="0"/>
                <w:color w:val="000000"/>
                <w:sz w:val="24"/>
                <w:szCs w:val="24"/>
                <w:u w:val="none"/>
                <w:lang w:val="en-US" w:eastAsia="zh-CN"/>
              </w:rPr>
              <w:t>我国在产及退役石化场地已超</w:t>
            </w:r>
            <w:r>
              <w:rPr>
                <w:rFonts w:hint="default" w:ascii="Times New Roman" w:hAnsi="Times New Roman" w:eastAsia="宋体" w:cs="Times New Roman"/>
                <w:i w:val="0"/>
                <w:iCs w:val="0"/>
                <w:color w:val="000000"/>
                <w:sz w:val="24"/>
                <w:szCs w:val="24"/>
                <w:u w:val="none"/>
                <w:lang w:val="en-US" w:eastAsia="zh-CN"/>
              </w:rPr>
              <w:t>2000</w:t>
            </w:r>
            <w:r>
              <w:rPr>
                <w:rFonts w:hint="eastAsia" w:ascii="Times New Roman" w:hAnsi="Times New Roman" w:eastAsia="宋体" w:cs="Times New Roman"/>
                <w:i w:val="0"/>
                <w:iCs w:val="0"/>
                <w:color w:val="000000"/>
                <w:sz w:val="24"/>
                <w:szCs w:val="24"/>
                <w:u w:val="none"/>
                <w:lang w:val="en-US" w:eastAsia="zh-CN"/>
              </w:rPr>
              <w:t>处，其中</w:t>
            </w:r>
            <w:r>
              <w:rPr>
                <w:rFonts w:hint="default" w:ascii="Times New Roman" w:hAnsi="Times New Roman" w:eastAsia="宋体" w:cs="Times New Roman"/>
                <w:i w:val="0"/>
                <w:iCs w:val="0"/>
                <w:color w:val="000000"/>
                <w:sz w:val="24"/>
                <w:szCs w:val="24"/>
                <w:u w:val="none"/>
                <w:lang w:val="en-US" w:eastAsia="zh-CN"/>
              </w:rPr>
              <w:t>≥70%</w:t>
            </w:r>
            <w:r>
              <w:rPr>
                <w:rFonts w:hint="eastAsia" w:ascii="Times New Roman" w:hAnsi="Times New Roman" w:eastAsia="宋体" w:cs="Times New Roman"/>
                <w:i w:val="0"/>
                <w:iCs w:val="0"/>
                <w:color w:val="000000"/>
                <w:sz w:val="24"/>
                <w:szCs w:val="24"/>
                <w:u w:val="none"/>
                <w:lang w:val="en-US" w:eastAsia="zh-CN"/>
              </w:rPr>
              <w:t>存在土壤与地下水复合污染，因污染特征复杂、空间异质性显著，现有数值模拟方法受限于模型精度较低（＜</w:t>
            </w:r>
            <w:r>
              <w:rPr>
                <w:rFonts w:hint="default" w:ascii="Times New Roman" w:hAnsi="Times New Roman" w:eastAsia="宋体" w:cs="Times New Roman"/>
                <w:i w:val="0"/>
                <w:iCs w:val="0"/>
                <w:color w:val="000000"/>
                <w:sz w:val="24"/>
                <w:szCs w:val="24"/>
                <w:u w:val="none"/>
                <w:lang w:val="en-US" w:eastAsia="zh-CN"/>
              </w:rPr>
              <w:t>70%</w:t>
            </w:r>
            <w:r>
              <w:rPr>
                <w:rFonts w:hint="eastAsia" w:ascii="Times New Roman" w:hAnsi="Times New Roman" w:eastAsia="宋体" w:cs="Times New Roman"/>
                <w:i w:val="0"/>
                <w:iCs w:val="0"/>
                <w:color w:val="000000"/>
                <w:sz w:val="24"/>
                <w:szCs w:val="24"/>
                <w:u w:val="none"/>
                <w:lang w:val="en-US" w:eastAsia="zh-CN"/>
              </w:rPr>
              <w:t>）、数据体系不匹配、迁移过程不连续及运算复杂耗时等问题，场地</w:t>
            </w:r>
            <w:r>
              <w:rPr>
                <w:rFonts w:hint="default" w:ascii="Times New Roman" w:hAnsi="Times New Roman" w:eastAsia="宋体" w:cs="Times New Roman"/>
                <w:i w:val="0"/>
                <w:iCs w:val="0"/>
                <w:color w:val="000000"/>
                <w:sz w:val="24"/>
                <w:szCs w:val="24"/>
                <w:u w:val="none"/>
                <w:lang w:val="en-US" w:eastAsia="zh-CN"/>
              </w:rPr>
              <w:t>“</w:t>
            </w:r>
            <w:r>
              <w:rPr>
                <w:rFonts w:hint="eastAsia" w:ascii="Times New Roman" w:hAnsi="Times New Roman" w:eastAsia="宋体" w:cs="Times New Roman"/>
                <w:i w:val="0"/>
                <w:iCs w:val="0"/>
                <w:color w:val="000000"/>
                <w:sz w:val="24"/>
                <w:szCs w:val="24"/>
                <w:u w:val="none"/>
                <w:lang w:val="en-US" w:eastAsia="zh-CN"/>
              </w:rPr>
              <w:t>污染现状</w:t>
            </w:r>
            <w:r>
              <w:rPr>
                <w:rFonts w:hint="default" w:ascii="Times New Roman" w:hAnsi="Times New Roman" w:eastAsia="宋体" w:cs="Times New Roman"/>
                <w:i w:val="0"/>
                <w:iCs w:val="0"/>
                <w:color w:val="000000"/>
                <w:sz w:val="24"/>
                <w:szCs w:val="24"/>
                <w:u w:val="none"/>
                <w:lang w:val="en-US" w:eastAsia="zh-CN"/>
              </w:rPr>
              <w:t>-</w:t>
            </w:r>
            <w:r>
              <w:rPr>
                <w:rFonts w:hint="eastAsia" w:ascii="Times New Roman" w:hAnsi="Times New Roman" w:eastAsia="宋体" w:cs="Times New Roman"/>
                <w:i w:val="0"/>
                <w:iCs w:val="0"/>
                <w:color w:val="000000"/>
                <w:sz w:val="24"/>
                <w:szCs w:val="24"/>
                <w:u w:val="none"/>
                <w:lang w:val="en-US" w:eastAsia="zh-CN"/>
              </w:rPr>
              <w:t>衰减演化</w:t>
            </w:r>
            <w:r>
              <w:rPr>
                <w:rFonts w:hint="default" w:ascii="Times New Roman" w:hAnsi="Times New Roman" w:eastAsia="宋体" w:cs="Times New Roman"/>
                <w:i w:val="0"/>
                <w:iCs w:val="0"/>
                <w:color w:val="000000"/>
                <w:sz w:val="24"/>
                <w:szCs w:val="24"/>
                <w:u w:val="none"/>
                <w:lang w:val="en-US" w:eastAsia="zh-CN"/>
              </w:rPr>
              <w:t>-</w:t>
            </w:r>
            <w:r>
              <w:rPr>
                <w:rFonts w:hint="eastAsia" w:ascii="Times New Roman" w:hAnsi="Times New Roman" w:eastAsia="宋体" w:cs="Times New Roman"/>
                <w:i w:val="0"/>
                <w:iCs w:val="0"/>
                <w:color w:val="000000"/>
                <w:sz w:val="24"/>
                <w:szCs w:val="24"/>
                <w:u w:val="none"/>
                <w:lang w:val="en-US" w:eastAsia="zh-CN"/>
              </w:rPr>
              <w:t>风险管控</w:t>
            </w:r>
            <w:r>
              <w:rPr>
                <w:rFonts w:hint="default" w:ascii="Times New Roman" w:hAnsi="Times New Roman" w:eastAsia="宋体" w:cs="Times New Roman"/>
                <w:i w:val="0"/>
                <w:iCs w:val="0"/>
                <w:color w:val="000000"/>
                <w:sz w:val="24"/>
                <w:szCs w:val="24"/>
                <w:u w:val="none"/>
                <w:lang w:val="en-US" w:eastAsia="zh-CN"/>
              </w:rPr>
              <w:t>”</w:t>
            </w:r>
            <w:r>
              <w:rPr>
                <w:rFonts w:hint="eastAsia" w:ascii="Times New Roman" w:hAnsi="Times New Roman" w:eastAsia="宋体" w:cs="Times New Roman"/>
                <w:i w:val="0"/>
                <w:iCs w:val="0"/>
                <w:color w:val="000000"/>
                <w:sz w:val="24"/>
                <w:szCs w:val="24"/>
                <w:u w:val="none"/>
                <w:lang w:val="en-US" w:eastAsia="zh-CN"/>
              </w:rPr>
              <w:t>全链条风险管理及精准决策面临技术支撑不足的挑战。为此，构建</w:t>
            </w:r>
            <w:r>
              <w:rPr>
                <w:rFonts w:hint="default" w:ascii="Times New Roman" w:hAnsi="Times New Roman" w:eastAsia="宋体" w:cs="Times New Roman"/>
                <w:i w:val="0"/>
                <w:iCs w:val="0"/>
                <w:color w:val="000000"/>
                <w:sz w:val="24"/>
                <w:szCs w:val="24"/>
                <w:u w:val="none"/>
                <w:lang w:val="en-US" w:eastAsia="zh-CN"/>
              </w:rPr>
              <w:t>“</w:t>
            </w:r>
            <w:r>
              <w:rPr>
                <w:rFonts w:hint="eastAsia" w:ascii="Times New Roman" w:hAnsi="Times New Roman" w:eastAsia="宋体" w:cs="Times New Roman"/>
                <w:i w:val="0"/>
                <w:iCs w:val="0"/>
                <w:color w:val="000000"/>
                <w:sz w:val="24"/>
                <w:szCs w:val="24"/>
                <w:u w:val="none"/>
                <w:lang w:val="en-US" w:eastAsia="zh-CN"/>
              </w:rPr>
              <w:t>机器学习</w:t>
            </w:r>
            <w:r>
              <w:rPr>
                <w:rFonts w:hint="default" w:ascii="Times New Roman" w:hAnsi="Times New Roman" w:eastAsia="宋体" w:cs="Times New Roman"/>
                <w:i w:val="0"/>
                <w:iCs w:val="0"/>
                <w:color w:val="000000"/>
                <w:sz w:val="24"/>
                <w:szCs w:val="24"/>
                <w:u w:val="none"/>
                <w:lang w:val="en-US" w:eastAsia="zh-CN"/>
              </w:rPr>
              <w:t>-HYDRUS-GMS”</w:t>
            </w:r>
            <w:r>
              <w:rPr>
                <w:rFonts w:hint="eastAsia" w:ascii="Times New Roman" w:hAnsi="Times New Roman" w:eastAsia="宋体" w:cs="Times New Roman"/>
                <w:i w:val="0"/>
                <w:iCs w:val="0"/>
                <w:color w:val="000000"/>
                <w:sz w:val="24"/>
                <w:szCs w:val="24"/>
                <w:u w:val="none"/>
                <w:lang w:val="en-US" w:eastAsia="zh-CN"/>
              </w:rPr>
              <w:t>松散耦合模型系统，可实现污染多过程耦合模拟与高精度风险预测，为以风险为导向的精准管控提供科学依据。</w:t>
            </w:r>
          </w:p>
        </w:tc>
        <w:tc>
          <w:tcPr>
            <w:tcW w:w="68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331622">
            <w:pPr>
              <w:keepNext w:val="0"/>
              <w:keepLines w:val="0"/>
              <w:widowControl/>
              <w:suppressLineNumbers w:val="0"/>
              <w:jc w:val="both"/>
              <w:textAlignment w:val="center"/>
              <w:rPr>
                <w:rFonts w:hint="default" w:ascii="Times New Roman" w:hAnsi="Times New Roman" w:eastAsia="宋体" w:cs="Times New Roman"/>
                <w:i w:val="0"/>
                <w:iCs w:val="0"/>
                <w:color w:val="000000"/>
                <w:sz w:val="24"/>
                <w:szCs w:val="24"/>
                <w:u w:val="none"/>
                <w:lang w:val="en-US" w:eastAsia="zh-CN"/>
              </w:rPr>
            </w:pPr>
            <w:r>
              <w:rPr>
                <w:rFonts w:hint="eastAsia" w:ascii="Times New Roman" w:hAnsi="Times New Roman" w:eastAsia="宋体" w:cs="Times New Roman"/>
                <w:i w:val="0"/>
                <w:iCs w:val="0"/>
                <w:color w:val="000000"/>
                <w:sz w:val="24"/>
                <w:szCs w:val="24"/>
                <w:u w:val="none"/>
                <w:lang w:val="en-US" w:eastAsia="zh-CN"/>
              </w:rPr>
              <w:t>研究内容：</w:t>
            </w:r>
            <w:r>
              <w:rPr>
                <w:rFonts w:hint="default" w:ascii="Times New Roman" w:hAnsi="Times New Roman" w:eastAsia="宋体" w:cs="Times New Roman"/>
                <w:i w:val="0"/>
                <w:iCs w:val="0"/>
                <w:color w:val="000000"/>
                <w:sz w:val="24"/>
                <w:szCs w:val="24"/>
                <w:u w:val="none"/>
                <w:lang w:val="en-US" w:eastAsia="zh-CN"/>
              </w:rPr>
              <w:br w:type="textWrapping"/>
            </w:r>
            <w:r>
              <w:rPr>
                <w:rFonts w:hint="eastAsia" w:ascii="Times New Roman" w:hAnsi="Times New Roman" w:eastAsia="宋体" w:cs="Times New Roman"/>
                <w:i w:val="0"/>
                <w:iCs w:val="0"/>
                <w:color w:val="000000"/>
                <w:sz w:val="24"/>
                <w:szCs w:val="24"/>
                <w:u w:val="none"/>
                <w:lang w:val="en-US" w:eastAsia="zh-CN"/>
              </w:rPr>
              <w:t>（</w:t>
            </w:r>
            <w:r>
              <w:rPr>
                <w:rFonts w:hint="default" w:ascii="Times New Roman" w:hAnsi="Times New Roman" w:eastAsia="宋体" w:cs="Times New Roman"/>
                <w:i w:val="0"/>
                <w:iCs w:val="0"/>
                <w:color w:val="000000"/>
                <w:sz w:val="24"/>
                <w:szCs w:val="24"/>
                <w:u w:val="none"/>
                <w:lang w:val="en-US" w:eastAsia="zh-CN"/>
              </w:rPr>
              <w:t>1</w:t>
            </w:r>
            <w:r>
              <w:rPr>
                <w:rFonts w:hint="eastAsia" w:ascii="Times New Roman" w:hAnsi="Times New Roman" w:eastAsia="宋体" w:cs="Times New Roman"/>
                <w:i w:val="0"/>
                <w:iCs w:val="0"/>
                <w:color w:val="000000"/>
                <w:sz w:val="24"/>
                <w:szCs w:val="24"/>
                <w:u w:val="none"/>
                <w:lang w:val="en-US" w:eastAsia="zh-CN"/>
              </w:rPr>
              <w:t>）研发石化企业场地尺度复合有机污染物自然衰减过程模拟预测模型，精准刻画污染羽时空演化；</w:t>
            </w:r>
            <w:r>
              <w:rPr>
                <w:rFonts w:hint="default" w:ascii="Times New Roman" w:hAnsi="Times New Roman" w:eastAsia="宋体" w:cs="Times New Roman"/>
                <w:i w:val="0"/>
                <w:iCs w:val="0"/>
                <w:color w:val="000000"/>
                <w:sz w:val="24"/>
                <w:szCs w:val="24"/>
                <w:u w:val="none"/>
                <w:lang w:val="en-US" w:eastAsia="zh-CN"/>
              </w:rPr>
              <w:br w:type="textWrapping"/>
            </w:r>
            <w:r>
              <w:rPr>
                <w:rFonts w:hint="eastAsia" w:ascii="Times New Roman" w:hAnsi="Times New Roman" w:eastAsia="宋体" w:cs="Times New Roman"/>
                <w:i w:val="0"/>
                <w:iCs w:val="0"/>
                <w:color w:val="000000"/>
                <w:sz w:val="24"/>
                <w:szCs w:val="24"/>
                <w:u w:val="none"/>
                <w:lang w:val="en-US" w:eastAsia="zh-CN"/>
              </w:rPr>
              <w:t>（</w:t>
            </w:r>
            <w:r>
              <w:rPr>
                <w:rFonts w:hint="default" w:ascii="Times New Roman" w:hAnsi="Times New Roman" w:eastAsia="宋体" w:cs="Times New Roman"/>
                <w:i w:val="0"/>
                <w:iCs w:val="0"/>
                <w:color w:val="000000"/>
                <w:sz w:val="24"/>
                <w:szCs w:val="24"/>
                <w:u w:val="none"/>
                <w:lang w:val="en-US" w:eastAsia="zh-CN"/>
              </w:rPr>
              <w:t>2</w:t>
            </w:r>
            <w:r>
              <w:rPr>
                <w:rFonts w:hint="eastAsia" w:ascii="Times New Roman" w:hAnsi="Times New Roman" w:eastAsia="宋体" w:cs="Times New Roman"/>
                <w:i w:val="0"/>
                <w:iCs w:val="0"/>
                <w:color w:val="000000"/>
                <w:sz w:val="24"/>
                <w:szCs w:val="24"/>
                <w:u w:val="none"/>
                <w:lang w:val="en-US" w:eastAsia="zh-CN"/>
              </w:rPr>
              <w:t>）构建复合污染风险模拟预测模型，精准预测自然衰减过程中风险水平的动态变化；</w:t>
            </w:r>
            <w:r>
              <w:rPr>
                <w:rFonts w:hint="default" w:ascii="Times New Roman" w:hAnsi="Times New Roman" w:eastAsia="宋体" w:cs="Times New Roman"/>
                <w:i w:val="0"/>
                <w:iCs w:val="0"/>
                <w:color w:val="000000"/>
                <w:sz w:val="24"/>
                <w:szCs w:val="24"/>
                <w:u w:val="none"/>
                <w:lang w:val="en-US" w:eastAsia="zh-CN"/>
              </w:rPr>
              <w:br w:type="textWrapping"/>
            </w:r>
            <w:r>
              <w:rPr>
                <w:rFonts w:hint="eastAsia" w:ascii="Times New Roman" w:hAnsi="Times New Roman" w:eastAsia="宋体" w:cs="Times New Roman"/>
                <w:i w:val="0"/>
                <w:iCs w:val="0"/>
                <w:color w:val="000000"/>
                <w:sz w:val="24"/>
                <w:szCs w:val="24"/>
                <w:u w:val="none"/>
                <w:lang w:val="en-US" w:eastAsia="zh-CN"/>
              </w:rPr>
              <w:t>（</w:t>
            </w:r>
            <w:r>
              <w:rPr>
                <w:rFonts w:hint="default" w:ascii="Times New Roman" w:hAnsi="Times New Roman" w:eastAsia="宋体" w:cs="Times New Roman"/>
                <w:i w:val="0"/>
                <w:iCs w:val="0"/>
                <w:color w:val="000000"/>
                <w:sz w:val="24"/>
                <w:szCs w:val="24"/>
                <w:u w:val="none"/>
                <w:lang w:val="en-US" w:eastAsia="zh-CN"/>
              </w:rPr>
              <w:t>3</w:t>
            </w:r>
            <w:r>
              <w:rPr>
                <w:rFonts w:hint="eastAsia" w:ascii="Times New Roman" w:hAnsi="Times New Roman" w:eastAsia="宋体" w:cs="Times New Roman"/>
                <w:i w:val="0"/>
                <w:iCs w:val="0"/>
                <w:color w:val="000000"/>
                <w:sz w:val="24"/>
                <w:szCs w:val="24"/>
                <w:u w:val="none"/>
                <w:lang w:val="en-US" w:eastAsia="zh-CN"/>
              </w:rPr>
              <w:t>）形成</w:t>
            </w:r>
            <w:r>
              <w:rPr>
                <w:rFonts w:hint="default" w:ascii="Times New Roman" w:hAnsi="Times New Roman" w:eastAsia="宋体" w:cs="Times New Roman"/>
                <w:i w:val="0"/>
                <w:iCs w:val="0"/>
                <w:color w:val="000000"/>
                <w:sz w:val="24"/>
                <w:szCs w:val="24"/>
                <w:u w:val="none"/>
                <w:lang w:val="en-US" w:eastAsia="zh-CN"/>
              </w:rPr>
              <w:t>"</w:t>
            </w:r>
            <w:r>
              <w:rPr>
                <w:rFonts w:hint="eastAsia" w:ascii="Times New Roman" w:hAnsi="Times New Roman" w:eastAsia="宋体" w:cs="Times New Roman"/>
                <w:i w:val="0"/>
                <w:iCs w:val="0"/>
                <w:color w:val="000000"/>
                <w:sz w:val="24"/>
                <w:szCs w:val="24"/>
                <w:u w:val="none"/>
                <w:lang w:val="en-US" w:eastAsia="zh-CN"/>
              </w:rPr>
              <w:t>过程模拟</w:t>
            </w:r>
            <w:r>
              <w:rPr>
                <w:rFonts w:hint="default" w:ascii="Times New Roman" w:hAnsi="Times New Roman" w:eastAsia="宋体" w:cs="Times New Roman"/>
                <w:i w:val="0"/>
                <w:iCs w:val="0"/>
                <w:color w:val="000000"/>
                <w:sz w:val="24"/>
                <w:szCs w:val="24"/>
                <w:u w:val="none"/>
                <w:lang w:val="en-US" w:eastAsia="zh-CN"/>
              </w:rPr>
              <w:t>-</w:t>
            </w:r>
            <w:r>
              <w:rPr>
                <w:rFonts w:hint="eastAsia" w:ascii="Times New Roman" w:hAnsi="Times New Roman" w:eastAsia="宋体" w:cs="Times New Roman"/>
                <w:i w:val="0"/>
                <w:iCs w:val="0"/>
                <w:color w:val="000000"/>
                <w:sz w:val="24"/>
                <w:szCs w:val="24"/>
                <w:u w:val="none"/>
                <w:lang w:val="en-US" w:eastAsia="zh-CN"/>
              </w:rPr>
              <w:t>通量解析</w:t>
            </w:r>
            <w:r>
              <w:rPr>
                <w:rFonts w:hint="default" w:ascii="Times New Roman" w:hAnsi="Times New Roman" w:eastAsia="宋体" w:cs="Times New Roman"/>
                <w:i w:val="0"/>
                <w:iCs w:val="0"/>
                <w:color w:val="000000"/>
                <w:sz w:val="24"/>
                <w:szCs w:val="24"/>
                <w:u w:val="none"/>
                <w:lang w:val="en-US" w:eastAsia="zh-CN"/>
              </w:rPr>
              <w:t>-</w:t>
            </w:r>
            <w:r>
              <w:rPr>
                <w:rFonts w:hint="eastAsia" w:ascii="Times New Roman" w:hAnsi="Times New Roman" w:eastAsia="宋体" w:cs="Times New Roman"/>
                <w:i w:val="0"/>
                <w:iCs w:val="0"/>
                <w:color w:val="000000"/>
                <w:sz w:val="24"/>
                <w:szCs w:val="24"/>
                <w:u w:val="none"/>
                <w:lang w:val="en-US" w:eastAsia="zh-CN"/>
              </w:rPr>
              <w:t>风险预测</w:t>
            </w:r>
            <w:r>
              <w:rPr>
                <w:rFonts w:hint="default" w:ascii="Times New Roman" w:hAnsi="Times New Roman" w:eastAsia="宋体" w:cs="Times New Roman"/>
                <w:i w:val="0"/>
                <w:iCs w:val="0"/>
                <w:color w:val="000000"/>
                <w:sz w:val="24"/>
                <w:szCs w:val="24"/>
                <w:u w:val="none"/>
                <w:lang w:val="en-US" w:eastAsia="zh-CN"/>
              </w:rPr>
              <w:t>"</w:t>
            </w:r>
            <w:r>
              <w:rPr>
                <w:rFonts w:hint="eastAsia" w:ascii="Times New Roman" w:hAnsi="Times New Roman" w:eastAsia="宋体" w:cs="Times New Roman"/>
                <w:i w:val="0"/>
                <w:iCs w:val="0"/>
                <w:color w:val="000000"/>
                <w:sz w:val="24"/>
                <w:szCs w:val="24"/>
                <w:u w:val="none"/>
                <w:lang w:val="en-US" w:eastAsia="zh-CN"/>
              </w:rPr>
              <w:t>的全链条研究方法和可视化热图。</w:t>
            </w:r>
            <w:r>
              <w:rPr>
                <w:rFonts w:hint="default" w:ascii="Times New Roman" w:hAnsi="Times New Roman" w:eastAsia="宋体" w:cs="Times New Roman"/>
                <w:i w:val="0"/>
                <w:iCs w:val="0"/>
                <w:color w:val="000000"/>
                <w:sz w:val="24"/>
                <w:szCs w:val="24"/>
                <w:u w:val="none"/>
                <w:lang w:val="en-US" w:eastAsia="zh-CN"/>
              </w:rPr>
              <w:br w:type="textWrapping"/>
            </w:r>
            <w:r>
              <w:rPr>
                <w:rFonts w:hint="eastAsia" w:ascii="Times New Roman" w:hAnsi="Times New Roman" w:eastAsia="宋体" w:cs="Times New Roman"/>
                <w:i w:val="0"/>
                <w:iCs w:val="0"/>
                <w:color w:val="000000"/>
                <w:sz w:val="24"/>
                <w:szCs w:val="24"/>
                <w:u w:val="none"/>
                <w:lang w:val="en-US" w:eastAsia="zh-CN"/>
              </w:rPr>
              <w:t>考核指标：</w:t>
            </w:r>
            <w:r>
              <w:rPr>
                <w:rFonts w:hint="default" w:ascii="Times New Roman" w:hAnsi="Times New Roman" w:eastAsia="宋体" w:cs="Times New Roman"/>
                <w:i w:val="0"/>
                <w:iCs w:val="0"/>
                <w:color w:val="000000"/>
                <w:sz w:val="24"/>
                <w:szCs w:val="24"/>
                <w:u w:val="none"/>
                <w:lang w:val="en-US" w:eastAsia="zh-CN"/>
              </w:rPr>
              <w:br w:type="textWrapping"/>
            </w:r>
            <w:r>
              <w:rPr>
                <w:rFonts w:hint="eastAsia" w:ascii="Times New Roman" w:hAnsi="Times New Roman" w:eastAsia="宋体" w:cs="Times New Roman"/>
                <w:i w:val="0"/>
                <w:iCs w:val="0"/>
                <w:color w:val="000000"/>
                <w:sz w:val="24"/>
                <w:szCs w:val="24"/>
                <w:u w:val="none"/>
                <w:lang w:val="en-US" w:eastAsia="zh-CN"/>
              </w:rPr>
              <w:t>（</w:t>
            </w:r>
            <w:r>
              <w:rPr>
                <w:rFonts w:hint="default" w:ascii="Times New Roman" w:hAnsi="Times New Roman" w:eastAsia="宋体" w:cs="Times New Roman"/>
                <w:i w:val="0"/>
                <w:iCs w:val="0"/>
                <w:color w:val="000000"/>
                <w:sz w:val="24"/>
                <w:szCs w:val="24"/>
                <w:u w:val="none"/>
                <w:lang w:val="en-US" w:eastAsia="zh-CN"/>
              </w:rPr>
              <w:t>1</w:t>
            </w:r>
            <w:r>
              <w:rPr>
                <w:rFonts w:hint="eastAsia" w:ascii="Times New Roman" w:hAnsi="Times New Roman" w:eastAsia="宋体" w:cs="Times New Roman"/>
                <w:i w:val="0"/>
                <w:iCs w:val="0"/>
                <w:color w:val="000000"/>
                <w:sz w:val="24"/>
                <w:szCs w:val="24"/>
                <w:u w:val="none"/>
                <w:lang w:val="en-US" w:eastAsia="zh-CN"/>
              </w:rPr>
              <w:t>）</w:t>
            </w:r>
            <w:r>
              <w:rPr>
                <w:rFonts w:hint="default" w:ascii="Times New Roman" w:hAnsi="Times New Roman" w:eastAsia="宋体" w:cs="Times New Roman"/>
                <w:i w:val="0"/>
                <w:iCs w:val="0"/>
                <w:color w:val="000000"/>
                <w:sz w:val="24"/>
                <w:szCs w:val="24"/>
                <w:u w:val="none"/>
                <w:lang w:val="en-US" w:eastAsia="zh-CN"/>
              </w:rPr>
              <w:t xml:space="preserve"> </w:t>
            </w:r>
            <w:r>
              <w:rPr>
                <w:rFonts w:hint="eastAsia" w:ascii="Times New Roman" w:hAnsi="Times New Roman" w:eastAsia="宋体" w:cs="Times New Roman"/>
                <w:i w:val="0"/>
                <w:iCs w:val="0"/>
                <w:color w:val="000000"/>
                <w:sz w:val="24"/>
                <w:szCs w:val="24"/>
                <w:u w:val="none"/>
                <w:lang w:val="en-US" w:eastAsia="zh-CN"/>
              </w:rPr>
              <w:t>构建污染物自然衰减模拟与风险预测模型</w:t>
            </w:r>
            <w:r>
              <w:rPr>
                <w:rFonts w:hint="default" w:ascii="Times New Roman" w:hAnsi="Times New Roman" w:eastAsia="宋体" w:cs="Times New Roman"/>
                <w:i w:val="0"/>
                <w:iCs w:val="0"/>
                <w:color w:val="000000"/>
                <w:sz w:val="24"/>
                <w:szCs w:val="24"/>
                <w:u w:val="none"/>
                <w:lang w:val="en-US" w:eastAsia="zh-CN"/>
              </w:rPr>
              <w:t>1</w:t>
            </w:r>
            <w:r>
              <w:rPr>
                <w:rFonts w:hint="eastAsia" w:ascii="Times New Roman" w:hAnsi="Times New Roman" w:eastAsia="宋体" w:cs="Times New Roman"/>
                <w:i w:val="0"/>
                <w:iCs w:val="0"/>
                <w:color w:val="000000"/>
                <w:sz w:val="24"/>
                <w:szCs w:val="24"/>
                <w:u w:val="none"/>
                <w:lang w:val="en-US" w:eastAsia="zh-CN"/>
              </w:rPr>
              <w:t>套，实现典型石化污染物跨介质自然衰减全过程的精准模拟预测，模拟精度比现有方法提升</w:t>
            </w:r>
            <w:r>
              <w:rPr>
                <w:rFonts w:hint="default" w:ascii="Times New Roman" w:hAnsi="Times New Roman" w:eastAsia="宋体" w:cs="Times New Roman"/>
                <w:i w:val="0"/>
                <w:iCs w:val="0"/>
                <w:color w:val="000000"/>
                <w:sz w:val="24"/>
                <w:szCs w:val="24"/>
                <w:u w:val="none"/>
                <w:lang w:val="en-US" w:eastAsia="zh-CN"/>
              </w:rPr>
              <w:t>20%</w:t>
            </w:r>
            <w:r>
              <w:rPr>
                <w:rFonts w:hint="eastAsia" w:ascii="Times New Roman" w:hAnsi="Times New Roman" w:eastAsia="宋体" w:cs="Times New Roman"/>
                <w:i w:val="0"/>
                <w:iCs w:val="0"/>
                <w:color w:val="000000"/>
                <w:sz w:val="24"/>
                <w:szCs w:val="24"/>
                <w:u w:val="none"/>
                <w:lang w:val="en-US" w:eastAsia="zh-CN"/>
              </w:rPr>
              <w:t>；</w:t>
            </w:r>
            <w:r>
              <w:rPr>
                <w:rFonts w:hint="default" w:ascii="Times New Roman" w:hAnsi="Times New Roman" w:eastAsia="宋体" w:cs="Times New Roman"/>
                <w:i w:val="0"/>
                <w:iCs w:val="0"/>
                <w:color w:val="000000"/>
                <w:sz w:val="24"/>
                <w:szCs w:val="24"/>
                <w:u w:val="none"/>
                <w:lang w:val="en-US" w:eastAsia="zh-CN"/>
              </w:rPr>
              <w:br w:type="textWrapping"/>
            </w:r>
            <w:r>
              <w:rPr>
                <w:rFonts w:hint="eastAsia" w:ascii="Times New Roman" w:hAnsi="Times New Roman" w:eastAsia="宋体" w:cs="Times New Roman"/>
                <w:i w:val="0"/>
                <w:iCs w:val="0"/>
                <w:color w:val="000000"/>
                <w:sz w:val="24"/>
                <w:szCs w:val="24"/>
                <w:u w:val="none"/>
                <w:lang w:val="en-US" w:eastAsia="zh-CN"/>
              </w:rPr>
              <w:t>（</w:t>
            </w:r>
            <w:r>
              <w:rPr>
                <w:rFonts w:hint="default" w:ascii="Times New Roman" w:hAnsi="Times New Roman" w:eastAsia="宋体" w:cs="Times New Roman"/>
                <w:i w:val="0"/>
                <w:iCs w:val="0"/>
                <w:color w:val="000000"/>
                <w:sz w:val="24"/>
                <w:szCs w:val="24"/>
                <w:u w:val="none"/>
                <w:lang w:val="en-US" w:eastAsia="zh-CN"/>
              </w:rPr>
              <w:t>2</w:t>
            </w:r>
            <w:r>
              <w:rPr>
                <w:rFonts w:hint="eastAsia" w:ascii="Times New Roman" w:hAnsi="Times New Roman" w:eastAsia="宋体" w:cs="Times New Roman"/>
                <w:i w:val="0"/>
                <w:iCs w:val="0"/>
                <w:color w:val="000000"/>
                <w:sz w:val="24"/>
                <w:szCs w:val="24"/>
                <w:u w:val="none"/>
                <w:lang w:val="en-US" w:eastAsia="zh-CN"/>
              </w:rPr>
              <w:t>）</w:t>
            </w:r>
            <w:r>
              <w:rPr>
                <w:rFonts w:hint="default" w:ascii="Times New Roman" w:hAnsi="Times New Roman" w:eastAsia="宋体" w:cs="Times New Roman"/>
                <w:i w:val="0"/>
                <w:iCs w:val="0"/>
                <w:color w:val="000000"/>
                <w:sz w:val="24"/>
                <w:szCs w:val="24"/>
                <w:u w:val="none"/>
                <w:lang w:val="en-US" w:eastAsia="zh-CN"/>
              </w:rPr>
              <w:t xml:space="preserve"> </w:t>
            </w:r>
            <w:r>
              <w:rPr>
                <w:rFonts w:hint="eastAsia" w:ascii="Times New Roman" w:hAnsi="Times New Roman" w:eastAsia="宋体" w:cs="Times New Roman"/>
                <w:i w:val="0"/>
                <w:iCs w:val="0"/>
                <w:color w:val="000000"/>
                <w:sz w:val="24"/>
                <w:szCs w:val="24"/>
                <w:u w:val="none"/>
                <w:lang w:val="en-US" w:eastAsia="zh-CN"/>
              </w:rPr>
              <w:t>形成污染衰减全过程全剖面模拟图</w:t>
            </w:r>
            <w:r>
              <w:rPr>
                <w:rFonts w:hint="default" w:ascii="Times New Roman" w:hAnsi="Times New Roman" w:eastAsia="宋体" w:cs="Times New Roman"/>
                <w:i w:val="0"/>
                <w:iCs w:val="0"/>
                <w:color w:val="000000"/>
                <w:sz w:val="24"/>
                <w:szCs w:val="24"/>
                <w:u w:val="none"/>
                <w:lang w:val="en-US" w:eastAsia="zh-CN"/>
              </w:rPr>
              <w:t>1</w:t>
            </w:r>
            <w:r>
              <w:rPr>
                <w:rFonts w:hint="eastAsia" w:ascii="Times New Roman" w:hAnsi="Times New Roman" w:eastAsia="宋体" w:cs="Times New Roman"/>
                <w:i w:val="0"/>
                <w:iCs w:val="0"/>
                <w:color w:val="000000"/>
                <w:sz w:val="24"/>
                <w:szCs w:val="24"/>
                <w:u w:val="none"/>
                <w:lang w:val="en-US" w:eastAsia="zh-CN"/>
              </w:rPr>
              <w:t>套；</w:t>
            </w:r>
            <w:r>
              <w:rPr>
                <w:rFonts w:hint="default" w:ascii="Times New Roman" w:hAnsi="Times New Roman" w:eastAsia="宋体" w:cs="Times New Roman"/>
                <w:i w:val="0"/>
                <w:iCs w:val="0"/>
                <w:color w:val="000000"/>
                <w:sz w:val="24"/>
                <w:szCs w:val="24"/>
                <w:u w:val="none"/>
                <w:lang w:val="en-US" w:eastAsia="zh-CN"/>
              </w:rPr>
              <w:br w:type="textWrapping"/>
            </w:r>
            <w:r>
              <w:rPr>
                <w:rFonts w:hint="eastAsia" w:ascii="Times New Roman" w:hAnsi="Times New Roman" w:eastAsia="宋体" w:cs="Times New Roman"/>
                <w:i w:val="0"/>
                <w:iCs w:val="0"/>
                <w:color w:val="000000"/>
                <w:sz w:val="24"/>
                <w:szCs w:val="24"/>
                <w:u w:val="none"/>
                <w:lang w:val="en-US" w:eastAsia="zh-CN"/>
              </w:rPr>
              <w:t>（</w:t>
            </w:r>
            <w:r>
              <w:rPr>
                <w:rFonts w:hint="default" w:ascii="Times New Roman" w:hAnsi="Times New Roman" w:eastAsia="宋体" w:cs="Times New Roman"/>
                <w:i w:val="0"/>
                <w:iCs w:val="0"/>
                <w:color w:val="000000"/>
                <w:sz w:val="24"/>
                <w:szCs w:val="24"/>
                <w:u w:val="none"/>
                <w:lang w:val="en-US" w:eastAsia="zh-CN"/>
              </w:rPr>
              <w:t>3</w:t>
            </w:r>
            <w:r>
              <w:rPr>
                <w:rFonts w:hint="eastAsia" w:ascii="Times New Roman" w:hAnsi="Times New Roman" w:eastAsia="宋体" w:cs="Times New Roman"/>
                <w:i w:val="0"/>
                <w:iCs w:val="0"/>
                <w:color w:val="000000"/>
                <w:sz w:val="24"/>
                <w:szCs w:val="24"/>
                <w:u w:val="none"/>
                <w:lang w:val="en-US" w:eastAsia="zh-CN"/>
              </w:rPr>
              <w:t>）</w:t>
            </w:r>
            <w:r>
              <w:rPr>
                <w:rFonts w:hint="default" w:ascii="Times New Roman" w:hAnsi="Times New Roman" w:eastAsia="宋体" w:cs="Times New Roman"/>
                <w:i w:val="0"/>
                <w:iCs w:val="0"/>
                <w:color w:val="000000"/>
                <w:sz w:val="24"/>
                <w:szCs w:val="24"/>
                <w:u w:val="none"/>
                <w:lang w:val="en-US" w:eastAsia="zh-CN"/>
              </w:rPr>
              <w:t xml:space="preserve"> </w:t>
            </w:r>
            <w:r>
              <w:rPr>
                <w:rFonts w:hint="eastAsia" w:ascii="Times New Roman" w:hAnsi="Times New Roman" w:eastAsia="宋体" w:cs="Times New Roman"/>
                <w:i w:val="0"/>
                <w:iCs w:val="0"/>
                <w:color w:val="000000"/>
                <w:sz w:val="24"/>
                <w:szCs w:val="24"/>
                <w:u w:val="none"/>
                <w:lang w:val="en-US" w:eastAsia="zh-CN"/>
              </w:rPr>
              <w:t>形成场地污染风险分布图</w:t>
            </w:r>
            <w:r>
              <w:rPr>
                <w:rFonts w:hint="default" w:ascii="Times New Roman" w:hAnsi="Times New Roman" w:eastAsia="宋体" w:cs="Times New Roman"/>
                <w:i w:val="0"/>
                <w:iCs w:val="0"/>
                <w:color w:val="000000"/>
                <w:sz w:val="24"/>
                <w:szCs w:val="24"/>
                <w:u w:val="none"/>
                <w:lang w:val="en-US" w:eastAsia="zh-CN"/>
              </w:rPr>
              <w:t>1</w:t>
            </w:r>
            <w:r>
              <w:rPr>
                <w:rFonts w:hint="eastAsia" w:ascii="Times New Roman" w:hAnsi="Times New Roman" w:eastAsia="宋体" w:cs="Times New Roman"/>
                <w:i w:val="0"/>
                <w:iCs w:val="0"/>
                <w:color w:val="000000"/>
                <w:sz w:val="24"/>
                <w:szCs w:val="24"/>
                <w:u w:val="none"/>
                <w:lang w:val="en-US" w:eastAsia="zh-CN"/>
              </w:rPr>
              <w:t>套</w:t>
            </w:r>
            <w:r>
              <w:rPr>
                <w:rFonts w:hint="default" w:ascii="Times New Roman" w:hAnsi="Times New Roman" w:eastAsia="宋体" w:cs="Times New Roman"/>
                <w:i w:val="0"/>
                <w:iCs w:val="0"/>
                <w:color w:val="000000"/>
                <w:sz w:val="24"/>
                <w:szCs w:val="24"/>
                <w:u w:val="none"/>
                <w:lang w:val="en-US" w:eastAsia="zh-CN"/>
              </w:rPr>
              <w:t>;</w:t>
            </w:r>
            <w:r>
              <w:rPr>
                <w:rFonts w:hint="default" w:ascii="Times New Roman" w:hAnsi="Times New Roman" w:eastAsia="宋体" w:cs="Times New Roman"/>
                <w:i w:val="0"/>
                <w:iCs w:val="0"/>
                <w:color w:val="000000"/>
                <w:sz w:val="24"/>
                <w:szCs w:val="24"/>
                <w:u w:val="none"/>
                <w:lang w:val="en-US" w:eastAsia="zh-CN"/>
              </w:rPr>
              <w:br w:type="textWrapping"/>
            </w:r>
            <w:r>
              <w:rPr>
                <w:rFonts w:hint="eastAsia" w:ascii="Times New Roman" w:hAnsi="Times New Roman" w:eastAsia="宋体" w:cs="Times New Roman"/>
                <w:i w:val="0"/>
                <w:iCs w:val="0"/>
                <w:color w:val="000000"/>
                <w:sz w:val="24"/>
                <w:szCs w:val="24"/>
                <w:u w:val="none"/>
                <w:lang w:val="en-US" w:eastAsia="zh-CN"/>
              </w:rPr>
              <w:t>（</w:t>
            </w:r>
            <w:r>
              <w:rPr>
                <w:rFonts w:hint="default" w:ascii="Times New Roman" w:hAnsi="Times New Roman" w:eastAsia="宋体" w:cs="Times New Roman"/>
                <w:i w:val="0"/>
                <w:iCs w:val="0"/>
                <w:color w:val="000000"/>
                <w:sz w:val="24"/>
                <w:szCs w:val="24"/>
                <w:u w:val="none"/>
                <w:lang w:val="en-US" w:eastAsia="zh-CN"/>
              </w:rPr>
              <w:t>4</w:t>
            </w:r>
            <w:r>
              <w:rPr>
                <w:rFonts w:hint="eastAsia" w:ascii="Times New Roman" w:hAnsi="Times New Roman" w:eastAsia="宋体" w:cs="Times New Roman"/>
                <w:i w:val="0"/>
                <w:iCs w:val="0"/>
                <w:color w:val="000000"/>
                <w:sz w:val="24"/>
                <w:szCs w:val="24"/>
                <w:u w:val="none"/>
                <w:lang w:val="en-US" w:eastAsia="zh-CN"/>
              </w:rPr>
              <w:t>）</w:t>
            </w:r>
            <w:r>
              <w:rPr>
                <w:rFonts w:hint="default" w:ascii="Times New Roman" w:hAnsi="Times New Roman" w:eastAsia="宋体" w:cs="Times New Roman"/>
                <w:i w:val="0"/>
                <w:iCs w:val="0"/>
                <w:color w:val="000000"/>
                <w:sz w:val="24"/>
                <w:szCs w:val="24"/>
                <w:u w:val="none"/>
                <w:lang w:val="en-US" w:eastAsia="zh-CN"/>
              </w:rPr>
              <w:t xml:space="preserve"> </w:t>
            </w:r>
            <w:r>
              <w:rPr>
                <w:rFonts w:hint="eastAsia" w:ascii="Times New Roman" w:hAnsi="Times New Roman" w:eastAsia="宋体" w:cs="Times New Roman"/>
                <w:i w:val="0"/>
                <w:iCs w:val="0"/>
                <w:color w:val="000000"/>
                <w:sz w:val="24"/>
                <w:szCs w:val="24"/>
                <w:u w:val="none"/>
                <w:lang w:val="en-US" w:eastAsia="zh-CN"/>
              </w:rPr>
              <w:t>发表</w:t>
            </w:r>
            <w:r>
              <w:rPr>
                <w:rFonts w:hint="default" w:ascii="Times New Roman" w:hAnsi="Times New Roman" w:eastAsia="宋体" w:cs="Times New Roman"/>
                <w:i w:val="0"/>
                <w:iCs w:val="0"/>
                <w:color w:val="000000"/>
                <w:sz w:val="24"/>
                <w:szCs w:val="24"/>
                <w:u w:val="none"/>
                <w:lang w:val="en-US" w:eastAsia="zh-CN"/>
              </w:rPr>
              <w:t xml:space="preserve"> SCl</w:t>
            </w:r>
            <w:r>
              <w:rPr>
                <w:rFonts w:hint="eastAsia" w:ascii="Times New Roman" w:hAnsi="Times New Roman" w:eastAsia="宋体" w:cs="Times New Roman"/>
                <w:i w:val="0"/>
                <w:iCs w:val="0"/>
                <w:color w:val="000000"/>
                <w:sz w:val="24"/>
                <w:szCs w:val="24"/>
                <w:u w:val="none"/>
                <w:lang w:val="en-US" w:eastAsia="zh-CN"/>
              </w:rPr>
              <w:t>论文</w:t>
            </w:r>
            <w:r>
              <w:rPr>
                <w:rFonts w:hint="default" w:ascii="Times New Roman" w:hAnsi="Times New Roman" w:eastAsia="宋体" w:cs="Times New Roman"/>
                <w:i w:val="0"/>
                <w:iCs w:val="0"/>
                <w:color w:val="000000"/>
                <w:sz w:val="24"/>
                <w:szCs w:val="24"/>
                <w:u w:val="none"/>
                <w:lang w:val="en-US" w:eastAsia="zh-CN"/>
              </w:rPr>
              <w:t>1</w:t>
            </w:r>
            <w:r>
              <w:rPr>
                <w:rFonts w:hint="eastAsia" w:ascii="Times New Roman" w:hAnsi="Times New Roman" w:eastAsia="宋体" w:cs="Times New Roman"/>
                <w:i w:val="0"/>
                <w:iCs w:val="0"/>
                <w:color w:val="000000"/>
                <w:sz w:val="24"/>
                <w:szCs w:val="24"/>
                <w:u w:val="none"/>
                <w:lang w:val="en-US" w:eastAsia="zh-CN"/>
              </w:rPr>
              <w:t>篇及以上。</w:t>
            </w:r>
          </w:p>
        </w:tc>
      </w:tr>
      <w:tr w14:paraId="50FFD3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62" w:hRule="atLeast"/>
        </w:trPr>
        <w:tc>
          <w:tcPr>
            <w:tcW w:w="10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B395A4">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lang w:val="en-US" w:eastAsia="zh-CN"/>
              </w:rPr>
            </w:pPr>
            <w:r>
              <w:rPr>
                <w:rFonts w:hint="eastAsia" w:cs="Times New Roman"/>
                <w:i w:val="0"/>
                <w:iCs w:val="0"/>
                <w:color w:val="000000"/>
                <w:sz w:val="24"/>
                <w:szCs w:val="24"/>
                <w:u w:val="none"/>
                <w:lang w:val="en-US" w:eastAsia="zh-CN"/>
              </w:rPr>
              <w:t>10</w:t>
            </w:r>
          </w:p>
        </w:tc>
        <w:tc>
          <w:tcPr>
            <w:tcW w:w="23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5807D4">
            <w:pPr>
              <w:keepNext w:val="0"/>
              <w:keepLines w:val="0"/>
              <w:widowControl/>
              <w:suppressLineNumbers w:val="0"/>
              <w:jc w:val="both"/>
              <w:textAlignment w:val="center"/>
              <w:rPr>
                <w:rFonts w:hint="default" w:ascii="Times New Roman" w:hAnsi="Times New Roman" w:eastAsia="宋体" w:cs="Times New Roman"/>
                <w:i w:val="0"/>
                <w:iCs w:val="0"/>
                <w:color w:val="000000"/>
                <w:sz w:val="24"/>
                <w:szCs w:val="24"/>
                <w:u w:val="none"/>
                <w:lang w:val="en-US" w:eastAsia="zh-CN"/>
              </w:rPr>
            </w:pPr>
            <w:r>
              <w:rPr>
                <w:rFonts w:hint="eastAsia" w:ascii="Times New Roman" w:hAnsi="Times New Roman" w:eastAsia="宋体" w:cs="Times New Roman"/>
                <w:i w:val="0"/>
                <w:iCs w:val="0"/>
                <w:color w:val="000000"/>
                <w:sz w:val="24"/>
                <w:szCs w:val="24"/>
                <w:u w:val="none"/>
                <w:lang w:val="en-US" w:eastAsia="zh-CN"/>
              </w:rPr>
              <w:t>石化企业混凝土防渗地坪裂缝修复技术研究</w:t>
            </w:r>
          </w:p>
        </w:tc>
        <w:tc>
          <w:tcPr>
            <w:tcW w:w="52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500DD8">
            <w:pPr>
              <w:keepNext w:val="0"/>
              <w:keepLines w:val="0"/>
              <w:widowControl/>
              <w:suppressLineNumbers w:val="0"/>
              <w:jc w:val="both"/>
              <w:textAlignment w:val="center"/>
              <w:rPr>
                <w:rFonts w:hint="default" w:ascii="Times New Roman" w:hAnsi="Times New Roman" w:eastAsia="宋体" w:cs="Times New Roman"/>
                <w:i w:val="0"/>
                <w:iCs w:val="0"/>
                <w:color w:val="000000"/>
                <w:sz w:val="24"/>
                <w:szCs w:val="24"/>
                <w:u w:val="none"/>
                <w:lang w:val="en-US" w:eastAsia="zh-CN"/>
              </w:rPr>
            </w:pPr>
            <w:r>
              <w:rPr>
                <w:rFonts w:hint="eastAsia" w:ascii="Times New Roman" w:hAnsi="Times New Roman" w:eastAsia="宋体" w:cs="Times New Roman"/>
                <w:i w:val="0"/>
                <w:iCs w:val="0"/>
                <w:color w:val="000000"/>
                <w:sz w:val="24"/>
                <w:szCs w:val="24"/>
                <w:u w:val="none"/>
                <w:lang w:val="en-US" w:eastAsia="zh-CN"/>
              </w:rPr>
              <w:t>我国石化企业多分布于临江、临海或邻近城市中心等环境敏感区域，对环境质量要求极高。现有混凝土防渗地坪随着服役年限的增长，面临着老化、开裂等问题，渗漏污染物可通过裂隙进入土壤</w:t>
            </w:r>
            <w:r>
              <w:rPr>
                <w:rFonts w:hint="default" w:ascii="Times New Roman" w:hAnsi="Times New Roman" w:eastAsia="宋体" w:cs="Times New Roman"/>
                <w:i w:val="0"/>
                <w:iCs w:val="0"/>
                <w:color w:val="000000"/>
                <w:sz w:val="24"/>
                <w:szCs w:val="24"/>
                <w:u w:val="none"/>
                <w:lang w:val="en-US" w:eastAsia="zh-CN"/>
              </w:rPr>
              <w:t>-</w:t>
            </w:r>
            <w:r>
              <w:rPr>
                <w:rFonts w:hint="eastAsia" w:ascii="Times New Roman" w:hAnsi="Times New Roman" w:eastAsia="宋体" w:cs="Times New Roman"/>
                <w:i w:val="0"/>
                <w:iCs w:val="0"/>
                <w:color w:val="000000"/>
                <w:sz w:val="24"/>
                <w:szCs w:val="24"/>
                <w:u w:val="none"/>
                <w:lang w:val="en-US" w:eastAsia="zh-CN"/>
              </w:rPr>
              <w:t>地下水</w:t>
            </w:r>
            <w:r>
              <w:rPr>
                <w:rFonts w:hint="default" w:ascii="Times New Roman" w:hAnsi="Times New Roman" w:eastAsia="宋体" w:cs="Times New Roman"/>
                <w:i w:val="0"/>
                <w:iCs w:val="0"/>
                <w:color w:val="000000"/>
                <w:sz w:val="24"/>
                <w:szCs w:val="24"/>
                <w:u w:val="none"/>
                <w:lang w:val="en-US" w:eastAsia="zh-CN"/>
              </w:rPr>
              <w:t>-</w:t>
            </w:r>
            <w:r>
              <w:rPr>
                <w:rFonts w:hint="eastAsia" w:ascii="Times New Roman" w:hAnsi="Times New Roman" w:eastAsia="宋体" w:cs="Times New Roman"/>
                <w:i w:val="0"/>
                <w:iCs w:val="0"/>
                <w:color w:val="000000"/>
                <w:sz w:val="24"/>
                <w:szCs w:val="24"/>
                <w:u w:val="none"/>
                <w:lang w:val="en-US" w:eastAsia="zh-CN"/>
              </w:rPr>
              <w:t>地表水之间的交互环境，给土壤污染源头防控带来困难。此外，受限于沿海高盐、潮热的极端环境，传统修复材料往往面临粘结失效与耐候性差等瓶颈，是行业当前亟待解决的隐患问题。利用生物矿化技术与纳米改性技术，研发适用于高盐潮热环境的纳米增效防渗材料及高性能生物基改性复合材料，开展石化特种工况下地坪裂缝的精准修复研究，对于提升防渗体系的服役寿命、降低环境污染风险具有重大意义。</w:t>
            </w:r>
          </w:p>
        </w:tc>
        <w:tc>
          <w:tcPr>
            <w:tcW w:w="68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7A7BFB">
            <w:pPr>
              <w:keepNext w:val="0"/>
              <w:keepLines w:val="0"/>
              <w:widowControl/>
              <w:suppressLineNumbers w:val="0"/>
              <w:jc w:val="both"/>
              <w:textAlignment w:val="center"/>
              <w:rPr>
                <w:rFonts w:hint="default" w:ascii="Times New Roman" w:hAnsi="Times New Roman" w:eastAsia="宋体" w:cs="Times New Roman"/>
                <w:i w:val="0"/>
                <w:iCs w:val="0"/>
                <w:color w:val="000000"/>
                <w:sz w:val="24"/>
                <w:szCs w:val="24"/>
                <w:u w:val="none"/>
                <w:lang w:val="en-US" w:eastAsia="zh-CN"/>
              </w:rPr>
            </w:pPr>
            <w:r>
              <w:rPr>
                <w:rFonts w:hint="eastAsia" w:ascii="Times New Roman" w:hAnsi="Times New Roman" w:eastAsia="宋体" w:cs="Times New Roman"/>
                <w:i w:val="0"/>
                <w:iCs w:val="0"/>
                <w:color w:val="000000"/>
                <w:sz w:val="24"/>
                <w:szCs w:val="24"/>
                <w:u w:val="none"/>
                <w:lang w:val="en-US" w:eastAsia="zh-CN"/>
              </w:rPr>
              <w:t>研究内容：</w:t>
            </w:r>
            <w:r>
              <w:rPr>
                <w:rFonts w:hint="default" w:ascii="Times New Roman" w:hAnsi="Times New Roman" w:eastAsia="宋体" w:cs="Times New Roman"/>
                <w:i w:val="0"/>
                <w:iCs w:val="0"/>
                <w:color w:val="000000"/>
                <w:sz w:val="24"/>
                <w:szCs w:val="24"/>
                <w:u w:val="none"/>
                <w:lang w:val="en-US" w:eastAsia="zh-CN"/>
              </w:rPr>
              <w:br w:type="textWrapping"/>
            </w:r>
            <w:r>
              <w:rPr>
                <w:rFonts w:hint="eastAsia" w:ascii="Times New Roman" w:hAnsi="Times New Roman" w:eastAsia="宋体" w:cs="Times New Roman"/>
                <w:i w:val="0"/>
                <w:iCs w:val="0"/>
                <w:color w:val="000000"/>
                <w:sz w:val="24"/>
                <w:szCs w:val="24"/>
                <w:u w:val="none"/>
                <w:lang w:val="en-US" w:eastAsia="zh-CN"/>
              </w:rPr>
              <w:t>针对沿海石油化工厂区混凝土结构防渗性能衰减问题，构建防渗材料性能与微细观结构的老化演变规律和防护体系寿命评估模型，研发适用于沿海石油化工厂区的生物基改性喷涂型防渗材料、适用高盐潮热环境的纳米增效防渗材料，定向攻克沿海石油化工厂区潮湿基面与喷涂防水层黏结力不足、多尺度裂缝联合修复及抗裂韧性提升难题。</w:t>
            </w:r>
            <w:r>
              <w:rPr>
                <w:rFonts w:hint="default" w:ascii="Times New Roman" w:hAnsi="Times New Roman" w:eastAsia="宋体" w:cs="Times New Roman"/>
                <w:i w:val="0"/>
                <w:iCs w:val="0"/>
                <w:color w:val="000000"/>
                <w:sz w:val="24"/>
                <w:szCs w:val="24"/>
                <w:u w:val="none"/>
                <w:lang w:val="en-US" w:eastAsia="zh-CN"/>
              </w:rPr>
              <w:br w:type="textWrapping"/>
            </w:r>
            <w:r>
              <w:rPr>
                <w:rFonts w:hint="eastAsia" w:cs="Times New Roman"/>
                <w:i w:val="0"/>
                <w:iCs w:val="0"/>
                <w:color w:val="000000"/>
                <w:sz w:val="24"/>
                <w:szCs w:val="24"/>
                <w:u w:val="none"/>
                <w:lang w:val="en-US" w:eastAsia="zh-CN"/>
              </w:rPr>
              <w:t>研究目标</w:t>
            </w:r>
            <w:r>
              <w:rPr>
                <w:rFonts w:hint="eastAsia" w:ascii="Times New Roman" w:hAnsi="Times New Roman" w:eastAsia="宋体" w:cs="Times New Roman"/>
                <w:i w:val="0"/>
                <w:iCs w:val="0"/>
                <w:color w:val="000000"/>
                <w:sz w:val="24"/>
                <w:szCs w:val="24"/>
                <w:u w:val="none"/>
                <w:lang w:val="en-US" w:eastAsia="zh-CN"/>
              </w:rPr>
              <w:t>：</w:t>
            </w:r>
            <w:r>
              <w:rPr>
                <w:rFonts w:hint="default" w:ascii="Times New Roman" w:hAnsi="Times New Roman" w:eastAsia="宋体" w:cs="Times New Roman"/>
                <w:i w:val="0"/>
                <w:iCs w:val="0"/>
                <w:color w:val="000000"/>
                <w:sz w:val="24"/>
                <w:szCs w:val="24"/>
                <w:u w:val="none"/>
                <w:lang w:val="en-US" w:eastAsia="zh-CN"/>
              </w:rPr>
              <w:br w:type="textWrapping"/>
            </w:r>
            <w:r>
              <w:rPr>
                <w:rFonts w:hint="eastAsia" w:ascii="Times New Roman" w:hAnsi="Times New Roman" w:eastAsia="宋体" w:cs="Times New Roman"/>
                <w:i w:val="0"/>
                <w:iCs w:val="0"/>
                <w:color w:val="000000"/>
                <w:sz w:val="24"/>
                <w:szCs w:val="24"/>
                <w:u w:val="none"/>
                <w:lang w:val="en-US" w:eastAsia="zh-CN"/>
              </w:rPr>
              <w:t>（</w:t>
            </w:r>
            <w:r>
              <w:rPr>
                <w:rFonts w:hint="default" w:ascii="Times New Roman" w:hAnsi="Times New Roman" w:eastAsia="宋体" w:cs="Times New Roman"/>
                <w:i w:val="0"/>
                <w:iCs w:val="0"/>
                <w:color w:val="000000"/>
                <w:sz w:val="24"/>
                <w:szCs w:val="24"/>
                <w:u w:val="none"/>
                <w:lang w:val="en-US" w:eastAsia="zh-CN"/>
              </w:rPr>
              <w:t>1</w:t>
            </w:r>
            <w:r>
              <w:rPr>
                <w:rFonts w:hint="eastAsia" w:ascii="Times New Roman" w:hAnsi="Times New Roman" w:eastAsia="宋体" w:cs="Times New Roman"/>
                <w:i w:val="0"/>
                <w:iCs w:val="0"/>
                <w:color w:val="000000"/>
                <w:sz w:val="24"/>
                <w:szCs w:val="24"/>
                <w:u w:val="none"/>
                <w:lang w:val="en-US" w:eastAsia="zh-CN"/>
              </w:rPr>
              <w:t>）形成一套混凝土裂缝防渗自修复材料制备工艺、质控指标、评价标准技术体系；</w:t>
            </w:r>
            <w:r>
              <w:rPr>
                <w:rFonts w:hint="default" w:ascii="Times New Roman" w:hAnsi="Times New Roman" w:eastAsia="宋体" w:cs="Times New Roman"/>
                <w:i w:val="0"/>
                <w:iCs w:val="0"/>
                <w:color w:val="000000"/>
                <w:sz w:val="24"/>
                <w:szCs w:val="24"/>
                <w:u w:val="none"/>
                <w:lang w:val="en-US" w:eastAsia="zh-CN"/>
              </w:rPr>
              <w:br w:type="textWrapping"/>
            </w:r>
            <w:r>
              <w:rPr>
                <w:rFonts w:hint="eastAsia" w:ascii="Times New Roman" w:hAnsi="Times New Roman" w:eastAsia="宋体" w:cs="Times New Roman"/>
                <w:i w:val="0"/>
                <w:iCs w:val="0"/>
                <w:color w:val="000000"/>
                <w:sz w:val="24"/>
                <w:szCs w:val="24"/>
                <w:u w:val="none"/>
                <w:lang w:val="en-US" w:eastAsia="zh-CN"/>
              </w:rPr>
              <w:t>（</w:t>
            </w:r>
            <w:r>
              <w:rPr>
                <w:rFonts w:hint="default" w:ascii="Times New Roman" w:hAnsi="Times New Roman" w:eastAsia="宋体" w:cs="Times New Roman"/>
                <w:i w:val="0"/>
                <w:iCs w:val="0"/>
                <w:color w:val="000000"/>
                <w:sz w:val="24"/>
                <w:szCs w:val="24"/>
                <w:u w:val="none"/>
                <w:lang w:val="en-US" w:eastAsia="zh-CN"/>
              </w:rPr>
              <w:t>2</w:t>
            </w:r>
            <w:r>
              <w:rPr>
                <w:rFonts w:hint="eastAsia" w:ascii="Times New Roman" w:hAnsi="Times New Roman" w:eastAsia="宋体" w:cs="Times New Roman"/>
                <w:i w:val="0"/>
                <w:iCs w:val="0"/>
                <w:color w:val="000000"/>
                <w:sz w:val="24"/>
                <w:szCs w:val="24"/>
                <w:u w:val="none"/>
                <w:lang w:val="en-US" w:eastAsia="zh-CN"/>
              </w:rPr>
              <w:t>）提供成熟的修复材料</w:t>
            </w:r>
            <w:r>
              <w:rPr>
                <w:rFonts w:hint="default" w:ascii="Times New Roman" w:hAnsi="Times New Roman" w:eastAsia="宋体" w:cs="Times New Roman"/>
                <w:i w:val="0"/>
                <w:iCs w:val="0"/>
                <w:color w:val="000000"/>
                <w:sz w:val="24"/>
                <w:szCs w:val="24"/>
                <w:u w:val="none"/>
                <w:lang w:val="en-US" w:eastAsia="zh-CN"/>
              </w:rPr>
              <w:t>/</w:t>
            </w:r>
            <w:r>
              <w:rPr>
                <w:rFonts w:hint="eastAsia" w:ascii="Times New Roman" w:hAnsi="Times New Roman" w:eastAsia="宋体" w:cs="Times New Roman"/>
                <w:i w:val="0"/>
                <w:iCs w:val="0"/>
                <w:color w:val="000000"/>
                <w:sz w:val="24"/>
                <w:szCs w:val="24"/>
                <w:u w:val="none"/>
                <w:lang w:val="en-US" w:eastAsia="zh-CN"/>
              </w:rPr>
              <w:t>配方</w:t>
            </w:r>
            <w:r>
              <w:rPr>
                <w:rFonts w:hint="default" w:ascii="Times New Roman" w:hAnsi="Times New Roman" w:eastAsia="宋体" w:cs="Times New Roman"/>
                <w:i w:val="0"/>
                <w:iCs w:val="0"/>
                <w:color w:val="000000"/>
                <w:sz w:val="24"/>
                <w:szCs w:val="24"/>
                <w:u w:val="none"/>
                <w:lang w:val="en-US" w:eastAsia="zh-CN"/>
              </w:rPr>
              <w:t>≥2</w:t>
            </w:r>
            <w:r>
              <w:rPr>
                <w:rFonts w:hint="eastAsia" w:ascii="Times New Roman" w:hAnsi="Times New Roman" w:eastAsia="宋体" w:cs="Times New Roman"/>
                <w:i w:val="0"/>
                <w:iCs w:val="0"/>
                <w:color w:val="000000"/>
                <w:sz w:val="24"/>
                <w:szCs w:val="24"/>
                <w:u w:val="none"/>
                <w:lang w:val="en-US" w:eastAsia="zh-CN"/>
              </w:rPr>
              <w:t>种，修复材料的渗透系数＜</w:t>
            </w:r>
            <w:r>
              <w:rPr>
                <w:rFonts w:hint="default" w:ascii="Times New Roman" w:hAnsi="Times New Roman" w:eastAsia="宋体" w:cs="Times New Roman"/>
                <w:i w:val="0"/>
                <w:iCs w:val="0"/>
                <w:color w:val="000000"/>
                <w:sz w:val="24"/>
                <w:szCs w:val="24"/>
                <w:u w:val="none"/>
                <w:lang w:val="en-US" w:eastAsia="zh-CN"/>
              </w:rPr>
              <w:t>1×10-7cm/s;</w:t>
            </w:r>
            <w:r>
              <w:rPr>
                <w:rFonts w:hint="default" w:ascii="Times New Roman" w:hAnsi="Times New Roman" w:eastAsia="宋体" w:cs="Times New Roman"/>
                <w:i w:val="0"/>
                <w:iCs w:val="0"/>
                <w:color w:val="000000"/>
                <w:sz w:val="24"/>
                <w:szCs w:val="24"/>
                <w:u w:val="none"/>
                <w:lang w:val="en-US" w:eastAsia="zh-CN"/>
              </w:rPr>
              <w:br w:type="textWrapping"/>
            </w:r>
            <w:r>
              <w:rPr>
                <w:rFonts w:hint="eastAsia" w:ascii="Times New Roman" w:hAnsi="Times New Roman" w:eastAsia="宋体" w:cs="Times New Roman"/>
                <w:i w:val="0"/>
                <w:iCs w:val="0"/>
                <w:color w:val="000000"/>
                <w:sz w:val="24"/>
                <w:szCs w:val="24"/>
                <w:u w:val="none"/>
                <w:lang w:val="en-US" w:eastAsia="zh-CN"/>
              </w:rPr>
              <w:t>（</w:t>
            </w:r>
            <w:r>
              <w:rPr>
                <w:rFonts w:hint="default" w:ascii="Times New Roman" w:hAnsi="Times New Roman" w:eastAsia="宋体" w:cs="Times New Roman"/>
                <w:i w:val="0"/>
                <w:iCs w:val="0"/>
                <w:color w:val="000000"/>
                <w:sz w:val="24"/>
                <w:szCs w:val="24"/>
                <w:u w:val="none"/>
                <w:lang w:val="en-US" w:eastAsia="zh-CN"/>
              </w:rPr>
              <w:t>3</w:t>
            </w:r>
            <w:r>
              <w:rPr>
                <w:rFonts w:hint="eastAsia" w:ascii="Times New Roman" w:hAnsi="Times New Roman" w:eastAsia="宋体" w:cs="Times New Roman"/>
                <w:i w:val="0"/>
                <w:iCs w:val="0"/>
                <w:color w:val="000000"/>
                <w:sz w:val="24"/>
                <w:szCs w:val="24"/>
                <w:u w:val="none"/>
                <w:lang w:val="en-US" w:eastAsia="zh-CN"/>
              </w:rPr>
              <w:t>）修复材料与混凝土界面结合强度</w:t>
            </w:r>
            <w:r>
              <w:rPr>
                <w:rFonts w:hint="default" w:ascii="Times New Roman" w:hAnsi="Times New Roman" w:eastAsia="宋体" w:cs="Times New Roman"/>
                <w:i w:val="0"/>
                <w:iCs w:val="0"/>
                <w:color w:val="000000"/>
                <w:sz w:val="24"/>
                <w:szCs w:val="24"/>
                <w:u w:val="none"/>
                <w:lang w:val="en-US" w:eastAsia="zh-CN"/>
              </w:rPr>
              <w:t>≥2.0MPa</w:t>
            </w:r>
            <w:r>
              <w:rPr>
                <w:rFonts w:hint="eastAsia" w:ascii="Times New Roman" w:hAnsi="Times New Roman" w:eastAsia="宋体" w:cs="Times New Roman"/>
                <w:i w:val="0"/>
                <w:iCs w:val="0"/>
                <w:color w:val="000000"/>
                <w:sz w:val="24"/>
                <w:szCs w:val="24"/>
                <w:u w:val="none"/>
                <w:lang w:val="en-US" w:eastAsia="zh-CN"/>
              </w:rPr>
              <w:t>（</w:t>
            </w:r>
            <w:r>
              <w:rPr>
                <w:rFonts w:hint="default" w:ascii="Times New Roman" w:hAnsi="Times New Roman" w:eastAsia="宋体" w:cs="Times New Roman"/>
                <w:i w:val="0"/>
                <w:iCs w:val="0"/>
                <w:color w:val="000000"/>
                <w:sz w:val="24"/>
                <w:szCs w:val="24"/>
                <w:u w:val="none"/>
                <w:lang w:val="en-US" w:eastAsia="zh-CN"/>
              </w:rPr>
              <w:t>GB/T 5210</w:t>
            </w:r>
            <w:r>
              <w:rPr>
                <w:rFonts w:hint="eastAsia" w:ascii="Times New Roman" w:hAnsi="Times New Roman" w:eastAsia="宋体" w:cs="Times New Roman"/>
                <w:i w:val="0"/>
                <w:iCs w:val="0"/>
                <w:color w:val="000000"/>
                <w:sz w:val="24"/>
                <w:szCs w:val="24"/>
                <w:u w:val="none"/>
                <w:lang w:val="en-US" w:eastAsia="zh-CN"/>
              </w:rPr>
              <w:t>）；耐磨性</w:t>
            </w:r>
            <w:r>
              <w:rPr>
                <w:rFonts w:hint="default" w:ascii="Times New Roman" w:hAnsi="Times New Roman" w:eastAsia="宋体" w:cs="Times New Roman"/>
                <w:i w:val="0"/>
                <w:iCs w:val="0"/>
                <w:color w:val="000000"/>
                <w:sz w:val="24"/>
                <w:szCs w:val="24"/>
                <w:u w:val="none"/>
                <w:lang w:val="en-US" w:eastAsia="zh-CN"/>
              </w:rPr>
              <w:t>≤0.02g</w:t>
            </w:r>
            <w:r>
              <w:rPr>
                <w:rFonts w:hint="eastAsia" w:ascii="Times New Roman" w:hAnsi="Times New Roman" w:eastAsia="宋体" w:cs="Times New Roman"/>
                <w:i w:val="0"/>
                <w:iCs w:val="0"/>
                <w:color w:val="000000"/>
                <w:sz w:val="24"/>
                <w:szCs w:val="24"/>
                <w:u w:val="none"/>
                <w:lang w:val="en-US" w:eastAsia="zh-CN"/>
              </w:rPr>
              <w:t>；</w:t>
            </w:r>
            <w:r>
              <w:rPr>
                <w:rFonts w:hint="default" w:ascii="Times New Roman" w:hAnsi="Times New Roman" w:eastAsia="宋体" w:cs="Times New Roman"/>
                <w:i w:val="0"/>
                <w:iCs w:val="0"/>
                <w:color w:val="000000"/>
                <w:sz w:val="24"/>
                <w:szCs w:val="24"/>
                <w:u w:val="none"/>
                <w:lang w:val="en-US" w:eastAsia="zh-CN"/>
              </w:rPr>
              <w:br w:type="textWrapping"/>
            </w:r>
            <w:r>
              <w:rPr>
                <w:rFonts w:hint="eastAsia" w:ascii="Times New Roman" w:hAnsi="Times New Roman" w:eastAsia="宋体" w:cs="Times New Roman"/>
                <w:i w:val="0"/>
                <w:iCs w:val="0"/>
                <w:color w:val="000000"/>
                <w:sz w:val="24"/>
                <w:szCs w:val="24"/>
                <w:u w:val="none"/>
                <w:lang w:val="en-US" w:eastAsia="zh-CN"/>
              </w:rPr>
              <w:t>（</w:t>
            </w:r>
            <w:r>
              <w:rPr>
                <w:rFonts w:hint="default" w:ascii="Times New Roman" w:hAnsi="Times New Roman" w:eastAsia="宋体" w:cs="Times New Roman"/>
                <w:i w:val="0"/>
                <w:iCs w:val="0"/>
                <w:color w:val="000000"/>
                <w:sz w:val="24"/>
                <w:szCs w:val="24"/>
                <w:u w:val="none"/>
                <w:lang w:val="en-US" w:eastAsia="zh-CN"/>
              </w:rPr>
              <w:t>4</w:t>
            </w:r>
            <w:r>
              <w:rPr>
                <w:rFonts w:hint="eastAsia" w:ascii="Times New Roman" w:hAnsi="Times New Roman" w:eastAsia="宋体" w:cs="Times New Roman"/>
                <w:i w:val="0"/>
                <w:iCs w:val="0"/>
                <w:color w:val="000000"/>
                <w:sz w:val="24"/>
                <w:szCs w:val="24"/>
                <w:u w:val="none"/>
                <w:lang w:val="en-US" w:eastAsia="zh-CN"/>
              </w:rPr>
              <w:t>）发表</w:t>
            </w:r>
            <w:r>
              <w:rPr>
                <w:rFonts w:hint="default" w:ascii="Times New Roman" w:hAnsi="Times New Roman" w:eastAsia="宋体" w:cs="Times New Roman"/>
                <w:i w:val="0"/>
                <w:iCs w:val="0"/>
                <w:color w:val="000000"/>
                <w:sz w:val="24"/>
                <w:szCs w:val="24"/>
                <w:u w:val="none"/>
                <w:lang w:val="en-US" w:eastAsia="zh-CN"/>
              </w:rPr>
              <w:t>SCI</w:t>
            </w:r>
            <w:r>
              <w:rPr>
                <w:rFonts w:hint="eastAsia" w:ascii="Times New Roman" w:hAnsi="Times New Roman" w:eastAsia="宋体" w:cs="Times New Roman"/>
                <w:i w:val="0"/>
                <w:iCs w:val="0"/>
                <w:color w:val="000000"/>
                <w:sz w:val="24"/>
                <w:szCs w:val="24"/>
                <w:u w:val="none"/>
                <w:lang w:val="en-US" w:eastAsia="zh-CN"/>
              </w:rPr>
              <w:t>论文</w:t>
            </w:r>
            <w:r>
              <w:rPr>
                <w:rFonts w:hint="default" w:ascii="Times New Roman" w:hAnsi="Times New Roman" w:eastAsia="宋体" w:cs="Times New Roman"/>
                <w:i w:val="0"/>
                <w:iCs w:val="0"/>
                <w:color w:val="000000"/>
                <w:sz w:val="24"/>
                <w:szCs w:val="24"/>
                <w:u w:val="none"/>
                <w:lang w:val="en-US" w:eastAsia="zh-CN"/>
              </w:rPr>
              <w:t>1</w:t>
            </w:r>
            <w:r>
              <w:rPr>
                <w:rFonts w:hint="eastAsia" w:ascii="Times New Roman" w:hAnsi="Times New Roman" w:eastAsia="宋体" w:cs="Times New Roman"/>
                <w:i w:val="0"/>
                <w:iCs w:val="0"/>
                <w:color w:val="000000"/>
                <w:sz w:val="24"/>
                <w:szCs w:val="24"/>
                <w:u w:val="none"/>
                <w:lang w:val="en-US" w:eastAsia="zh-CN"/>
              </w:rPr>
              <w:t>篇及以上。</w:t>
            </w:r>
          </w:p>
        </w:tc>
      </w:tr>
      <w:tr w14:paraId="70A58A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08" w:hRule="atLeast"/>
        </w:trPr>
        <w:tc>
          <w:tcPr>
            <w:tcW w:w="10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0C8A48">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lang w:val="en-US" w:eastAsia="zh-CN"/>
              </w:rPr>
            </w:pPr>
            <w:r>
              <w:rPr>
                <w:rFonts w:hint="eastAsia" w:cs="Times New Roman"/>
                <w:i w:val="0"/>
                <w:iCs w:val="0"/>
                <w:color w:val="000000"/>
                <w:sz w:val="24"/>
                <w:szCs w:val="24"/>
                <w:u w:val="none"/>
                <w:lang w:val="en-US" w:eastAsia="zh-CN"/>
              </w:rPr>
              <w:t>11</w:t>
            </w:r>
          </w:p>
        </w:tc>
        <w:tc>
          <w:tcPr>
            <w:tcW w:w="23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38DC13">
            <w:pPr>
              <w:keepNext w:val="0"/>
              <w:keepLines w:val="0"/>
              <w:widowControl/>
              <w:suppressLineNumbers w:val="0"/>
              <w:jc w:val="both"/>
              <w:textAlignment w:val="center"/>
              <w:rPr>
                <w:rFonts w:hint="default" w:ascii="Times New Roman" w:hAnsi="Times New Roman" w:eastAsia="宋体" w:cs="Times New Roman"/>
                <w:i w:val="0"/>
                <w:iCs w:val="0"/>
                <w:color w:val="000000"/>
                <w:sz w:val="24"/>
                <w:szCs w:val="24"/>
                <w:u w:val="none"/>
                <w:lang w:val="en-US" w:eastAsia="zh-CN"/>
              </w:rPr>
            </w:pPr>
            <w:r>
              <w:rPr>
                <w:rFonts w:hint="eastAsia" w:ascii="Times New Roman" w:hAnsi="Times New Roman" w:eastAsia="宋体" w:cs="Times New Roman"/>
                <w:i w:val="0"/>
                <w:iCs w:val="0"/>
                <w:color w:val="000000"/>
                <w:sz w:val="24"/>
                <w:szCs w:val="24"/>
                <w:u w:val="none"/>
                <w:lang w:val="en-US" w:eastAsia="zh-CN"/>
              </w:rPr>
              <w:t>炼厂罐底油泥与废旧橡胶协同资源化利用技术研究</w:t>
            </w:r>
          </w:p>
        </w:tc>
        <w:tc>
          <w:tcPr>
            <w:tcW w:w="52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061809">
            <w:pPr>
              <w:keepNext w:val="0"/>
              <w:keepLines w:val="0"/>
              <w:widowControl/>
              <w:suppressLineNumbers w:val="0"/>
              <w:jc w:val="both"/>
              <w:textAlignment w:val="center"/>
              <w:rPr>
                <w:rFonts w:hint="default" w:ascii="Times New Roman" w:hAnsi="Times New Roman" w:eastAsia="宋体" w:cs="Times New Roman"/>
                <w:i w:val="0"/>
                <w:iCs w:val="0"/>
                <w:color w:val="000000"/>
                <w:sz w:val="24"/>
                <w:szCs w:val="24"/>
                <w:u w:val="none"/>
                <w:lang w:val="en-US" w:eastAsia="zh-CN"/>
              </w:rPr>
            </w:pPr>
            <w:r>
              <w:rPr>
                <w:rFonts w:hint="eastAsia" w:ascii="Times New Roman" w:hAnsi="Times New Roman" w:eastAsia="宋体" w:cs="Times New Roman"/>
                <w:i w:val="0"/>
                <w:iCs w:val="0"/>
                <w:color w:val="000000"/>
                <w:sz w:val="24"/>
                <w:szCs w:val="24"/>
                <w:u w:val="none"/>
                <w:lang w:val="en-US" w:eastAsia="zh-CN"/>
              </w:rPr>
              <w:t>石化行业含油污泥作为典型</w:t>
            </w:r>
            <w:r>
              <w:rPr>
                <w:rFonts w:hint="default" w:ascii="Times New Roman" w:hAnsi="Times New Roman" w:eastAsia="宋体" w:cs="Times New Roman"/>
                <w:i w:val="0"/>
                <w:iCs w:val="0"/>
                <w:color w:val="000000"/>
                <w:sz w:val="24"/>
                <w:szCs w:val="24"/>
                <w:u w:val="none"/>
                <w:lang w:val="en-US" w:eastAsia="zh-CN"/>
              </w:rPr>
              <w:t>“</w:t>
            </w:r>
            <w:r>
              <w:rPr>
                <w:rFonts w:hint="eastAsia" w:ascii="Times New Roman" w:hAnsi="Times New Roman" w:eastAsia="宋体" w:cs="Times New Roman"/>
                <w:i w:val="0"/>
                <w:iCs w:val="0"/>
                <w:color w:val="000000"/>
                <w:sz w:val="24"/>
                <w:szCs w:val="24"/>
                <w:u w:val="none"/>
                <w:lang w:val="en-US" w:eastAsia="zh-CN"/>
              </w:rPr>
              <w:t>资源型固废</w:t>
            </w:r>
            <w:r>
              <w:rPr>
                <w:rFonts w:hint="default" w:ascii="Times New Roman" w:hAnsi="Times New Roman" w:eastAsia="宋体" w:cs="Times New Roman"/>
                <w:i w:val="0"/>
                <w:iCs w:val="0"/>
                <w:color w:val="000000"/>
                <w:sz w:val="24"/>
                <w:szCs w:val="24"/>
                <w:u w:val="none"/>
                <w:lang w:val="en-US" w:eastAsia="zh-CN"/>
              </w:rPr>
              <w:t>”</w:t>
            </w:r>
            <w:r>
              <w:rPr>
                <w:rFonts w:hint="eastAsia" w:ascii="Times New Roman" w:hAnsi="Times New Roman" w:eastAsia="宋体" w:cs="Times New Roman"/>
                <w:i w:val="0"/>
                <w:iCs w:val="0"/>
                <w:color w:val="000000"/>
                <w:sz w:val="24"/>
                <w:szCs w:val="24"/>
                <w:u w:val="none"/>
                <w:lang w:val="en-US" w:eastAsia="zh-CN"/>
              </w:rPr>
              <w:t>，其年产生量大、成分复杂，存在油水固三相分离效率低、资源化难度大、处置成本高等难题，亟需探索油泥中残留石油类、化学剂及矿物质的新型资源化路径，而再生橡胶制备过程中使用的软化剂及填料剂为其提供了可能。国内橡胶制品行业再生橡胶年需求量突破</w:t>
            </w:r>
            <w:r>
              <w:rPr>
                <w:rFonts w:hint="default" w:ascii="Times New Roman" w:hAnsi="Times New Roman" w:eastAsia="宋体" w:cs="Times New Roman"/>
                <w:i w:val="0"/>
                <w:iCs w:val="0"/>
                <w:color w:val="000000"/>
                <w:sz w:val="24"/>
                <w:szCs w:val="24"/>
                <w:u w:val="none"/>
                <w:lang w:val="en-US" w:eastAsia="zh-CN"/>
              </w:rPr>
              <w:t>600</w:t>
            </w:r>
            <w:r>
              <w:rPr>
                <w:rFonts w:hint="eastAsia" w:ascii="Times New Roman" w:hAnsi="Times New Roman" w:eastAsia="宋体" w:cs="Times New Roman"/>
                <w:i w:val="0"/>
                <w:iCs w:val="0"/>
                <w:color w:val="000000"/>
                <w:sz w:val="24"/>
                <w:szCs w:val="24"/>
                <w:u w:val="none"/>
                <w:lang w:val="en-US" w:eastAsia="zh-CN"/>
              </w:rPr>
              <w:t>万吨，原料成本占比高达</w:t>
            </w:r>
            <w:r>
              <w:rPr>
                <w:rFonts w:hint="default" w:ascii="Times New Roman" w:hAnsi="Times New Roman" w:eastAsia="宋体" w:cs="Times New Roman"/>
                <w:i w:val="0"/>
                <w:iCs w:val="0"/>
                <w:color w:val="000000"/>
                <w:sz w:val="24"/>
                <w:szCs w:val="24"/>
                <w:u w:val="none"/>
                <w:lang w:val="en-US" w:eastAsia="zh-CN"/>
              </w:rPr>
              <w:t>65%</w:t>
            </w:r>
            <w:r>
              <w:rPr>
                <w:rFonts w:hint="eastAsia" w:ascii="Times New Roman" w:hAnsi="Times New Roman" w:eastAsia="宋体" w:cs="Times New Roman"/>
                <w:i w:val="0"/>
                <w:iCs w:val="0"/>
                <w:color w:val="000000"/>
                <w:sz w:val="24"/>
                <w:szCs w:val="24"/>
                <w:u w:val="none"/>
                <w:lang w:val="en-US" w:eastAsia="zh-CN"/>
              </w:rPr>
              <w:t>以上，通过将典型石化油泥（如炼厂罐底油泥）与废旧橡胶协同处置，不仅可解决油泥分离与回炼难题，还能为橡胶衍生产品提供替代性原料及活性组分，契合循环经济与工业绿色转型的战略需求。</w:t>
            </w:r>
          </w:p>
        </w:tc>
        <w:tc>
          <w:tcPr>
            <w:tcW w:w="68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E66B42">
            <w:pPr>
              <w:keepNext w:val="0"/>
              <w:keepLines w:val="0"/>
              <w:widowControl/>
              <w:suppressLineNumbers w:val="0"/>
              <w:jc w:val="both"/>
              <w:textAlignment w:val="center"/>
              <w:rPr>
                <w:rFonts w:hint="default" w:ascii="Times New Roman" w:hAnsi="Times New Roman" w:eastAsia="宋体" w:cs="Times New Roman"/>
                <w:i w:val="0"/>
                <w:iCs w:val="0"/>
                <w:color w:val="000000"/>
                <w:sz w:val="24"/>
                <w:szCs w:val="24"/>
                <w:u w:val="none"/>
                <w:lang w:val="en-US" w:eastAsia="zh-CN"/>
              </w:rPr>
            </w:pPr>
            <w:r>
              <w:rPr>
                <w:rFonts w:hint="eastAsia" w:ascii="Times New Roman" w:hAnsi="Times New Roman" w:eastAsia="宋体" w:cs="Times New Roman"/>
                <w:i w:val="0"/>
                <w:iCs w:val="0"/>
                <w:color w:val="000000"/>
                <w:sz w:val="24"/>
                <w:szCs w:val="24"/>
                <w:u w:val="none"/>
                <w:lang w:val="en-US" w:eastAsia="zh-CN"/>
              </w:rPr>
              <w:t>研究内容：</w:t>
            </w:r>
            <w:r>
              <w:rPr>
                <w:rFonts w:hint="default" w:ascii="Times New Roman" w:hAnsi="Times New Roman" w:eastAsia="宋体" w:cs="Times New Roman"/>
                <w:i w:val="0"/>
                <w:iCs w:val="0"/>
                <w:color w:val="000000"/>
                <w:sz w:val="24"/>
                <w:szCs w:val="24"/>
                <w:u w:val="none"/>
                <w:lang w:val="en-US" w:eastAsia="zh-CN"/>
              </w:rPr>
              <w:br w:type="textWrapping"/>
            </w:r>
            <w:r>
              <w:rPr>
                <w:rFonts w:hint="eastAsia" w:ascii="Times New Roman" w:hAnsi="Times New Roman" w:eastAsia="宋体" w:cs="Times New Roman"/>
                <w:i w:val="0"/>
                <w:iCs w:val="0"/>
                <w:color w:val="000000"/>
                <w:sz w:val="24"/>
                <w:szCs w:val="24"/>
                <w:u w:val="none"/>
                <w:lang w:val="en-US" w:eastAsia="zh-CN"/>
              </w:rPr>
              <w:t>针对炼化企业罐底油泥三相分离难、资源化利用率低、外委处置费用高等问题，开展罐底油泥一步法资源化利用技术研究，与废塑料、废旧橡胶等污染物协同处置制备橡胶衍生产品。深入剖析罐底油泥组成及理化特性，以橡胶理论化学、高分子材料学为理论依据，精准识别油泥成分与橡胶填料剂间的对应关系，论证油泥制备再生胶的理论基础和技术优势；探索油泥组成、物料配比、化学助剂种类、反应条件等关键参数，形成罐底油泥制备橡胶衍生品的工艺技术路线；开展油泥橡胶产品性能检测，如拉伸强度、伸长率、硬度、撕裂强度、热老化、抗疲劳、耐磨耗等，研究油泥主要成分对产品制备过程和产品品质的影响，完善技术路线；进行产品的橡胶工程应用研究，分析产品的优缺点，评估炼厂油泥橡胶产品的应用场景及市场价值。</w:t>
            </w:r>
            <w:r>
              <w:rPr>
                <w:rFonts w:hint="default" w:ascii="Times New Roman" w:hAnsi="Times New Roman" w:eastAsia="宋体" w:cs="Times New Roman"/>
                <w:i w:val="0"/>
                <w:iCs w:val="0"/>
                <w:color w:val="000000"/>
                <w:sz w:val="24"/>
                <w:szCs w:val="24"/>
                <w:u w:val="none"/>
                <w:lang w:val="en-US" w:eastAsia="zh-CN"/>
              </w:rPr>
              <w:br w:type="textWrapping"/>
            </w:r>
            <w:r>
              <w:rPr>
                <w:rFonts w:hint="eastAsia" w:cs="Times New Roman"/>
                <w:i w:val="0"/>
                <w:iCs w:val="0"/>
                <w:color w:val="000000"/>
                <w:sz w:val="24"/>
                <w:szCs w:val="24"/>
                <w:u w:val="none"/>
                <w:lang w:val="en-US" w:eastAsia="zh-CN"/>
              </w:rPr>
              <w:t>研究目标</w:t>
            </w:r>
            <w:r>
              <w:rPr>
                <w:rFonts w:hint="eastAsia" w:ascii="Times New Roman" w:hAnsi="Times New Roman" w:eastAsia="宋体" w:cs="Times New Roman"/>
                <w:i w:val="0"/>
                <w:iCs w:val="0"/>
                <w:color w:val="000000"/>
                <w:sz w:val="24"/>
                <w:szCs w:val="24"/>
                <w:u w:val="none"/>
                <w:lang w:val="en-US" w:eastAsia="zh-CN"/>
              </w:rPr>
              <w:t>：</w:t>
            </w:r>
            <w:r>
              <w:rPr>
                <w:rFonts w:hint="default" w:ascii="Times New Roman" w:hAnsi="Times New Roman" w:eastAsia="宋体" w:cs="Times New Roman"/>
                <w:i w:val="0"/>
                <w:iCs w:val="0"/>
                <w:color w:val="000000"/>
                <w:sz w:val="24"/>
                <w:szCs w:val="24"/>
                <w:u w:val="none"/>
                <w:lang w:val="en-US" w:eastAsia="zh-CN"/>
              </w:rPr>
              <w:br w:type="textWrapping"/>
            </w:r>
            <w:r>
              <w:rPr>
                <w:rFonts w:hint="eastAsia" w:ascii="Times New Roman" w:hAnsi="Times New Roman" w:eastAsia="宋体" w:cs="Times New Roman"/>
                <w:i w:val="0"/>
                <w:iCs w:val="0"/>
                <w:color w:val="000000"/>
                <w:sz w:val="24"/>
                <w:szCs w:val="24"/>
                <w:u w:val="none"/>
                <w:lang w:val="en-US" w:eastAsia="zh-CN"/>
              </w:rPr>
              <w:t>（</w:t>
            </w:r>
            <w:r>
              <w:rPr>
                <w:rFonts w:hint="default" w:ascii="Times New Roman" w:hAnsi="Times New Roman" w:eastAsia="宋体" w:cs="Times New Roman"/>
                <w:i w:val="0"/>
                <w:iCs w:val="0"/>
                <w:color w:val="000000"/>
                <w:sz w:val="24"/>
                <w:szCs w:val="24"/>
                <w:u w:val="none"/>
                <w:lang w:val="en-US" w:eastAsia="zh-CN"/>
              </w:rPr>
              <w:t>1</w:t>
            </w:r>
            <w:r>
              <w:rPr>
                <w:rFonts w:hint="eastAsia" w:ascii="Times New Roman" w:hAnsi="Times New Roman" w:eastAsia="宋体" w:cs="Times New Roman"/>
                <w:i w:val="0"/>
                <w:iCs w:val="0"/>
                <w:color w:val="000000"/>
                <w:sz w:val="24"/>
                <w:szCs w:val="24"/>
                <w:u w:val="none"/>
                <w:lang w:val="en-US" w:eastAsia="zh-CN"/>
              </w:rPr>
              <w:t>）形成一套炼厂罐底油泥制备橡胶衍生品的工艺技术路线，产品主要指标满足：灰分</w:t>
            </w:r>
            <w:r>
              <w:rPr>
                <w:rFonts w:hint="default" w:ascii="Times New Roman" w:hAnsi="Times New Roman" w:eastAsia="宋体" w:cs="Times New Roman"/>
                <w:i w:val="0"/>
                <w:iCs w:val="0"/>
                <w:color w:val="000000"/>
                <w:sz w:val="24"/>
                <w:szCs w:val="24"/>
                <w:u w:val="none"/>
                <w:lang w:val="en-US" w:eastAsia="zh-CN"/>
              </w:rPr>
              <w:t>≤10%</w:t>
            </w:r>
            <w:r>
              <w:rPr>
                <w:rFonts w:hint="eastAsia" w:ascii="Times New Roman" w:hAnsi="Times New Roman" w:eastAsia="宋体" w:cs="Times New Roman"/>
                <w:i w:val="0"/>
                <w:iCs w:val="0"/>
                <w:color w:val="000000"/>
                <w:sz w:val="24"/>
                <w:szCs w:val="24"/>
                <w:u w:val="none"/>
                <w:lang w:val="en-US" w:eastAsia="zh-CN"/>
              </w:rPr>
              <w:t>，拉伸强度</w:t>
            </w:r>
            <w:r>
              <w:rPr>
                <w:rFonts w:hint="default" w:ascii="Times New Roman" w:hAnsi="Times New Roman" w:eastAsia="宋体" w:cs="Times New Roman"/>
                <w:i w:val="0"/>
                <w:iCs w:val="0"/>
                <w:color w:val="000000"/>
                <w:sz w:val="24"/>
                <w:szCs w:val="24"/>
                <w:u w:val="none"/>
                <w:lang w:val="en-US" w:eastAsia="zh-CN"/>
              </w:rPr>
              <w:t>≥8.0MPa</w:t>
            </w:r>
            <w:r>
              <w:rPr>
                <w:rFonts w:hint="eastAsia" w:ascii="Times New Roman" w:hAnsi="Times New Roman" w:eastAsia="宋体" w:cs="Times New Roman"/>
                <w:i w:val="0"/>
                <w:iCs w:val="0"/>
                <w:color w:val="000000"/>
                <w:sz w:val="24"/>
                <w:szCs w:val="24"/>
                <w:u w:val="none"/>
                <w:lang w:val="en-US" w:eastAsia="zh-CN"/>
              </w:rPr>
              <w:t>，伸长率</w:t>
            </w:r>
            <w:r>
              <w:rPr>
                <w:rFonts w:hint="default" w:ascii="Times New Roman" w:hAnsi="Times New Roman" w:eastAsia="宋体" w:cs="Times New Roman"/>
                <w:i w:val="0"/>
                <w:iCs w:val="0"/>
                <w:color w:val="000000"/>
                <w:sz w:val="24"/>
                <w:szCs w:val="24"/>
                <w:u w:val="none"/>
                <w:lang w:val="en-US" w:eastAsia="zh-CN"/>
              </w:rPr>
              <w:t>≥200%</w:t>
            </w:r>
            <w:r>
              <w:rPr>
                <w:rFonts w:hint="eastAsia" w:ascii="Times New Roman" w:hAnsi="Times New Roman" w:eastAsia="宋体" w:cs="Times New Roman"/>
                <w:i w:val="0"/>
                <w:iCs w:val="0"/>
                <w:color w:val="000000"/>
                <w:sz w:val="24"/>
                <w:szCs w:val="24"/>
                <w:u w:val="none"/>
                <w:lang w:val="en-US" w:eastAsia="zh-CN"/>
              </w:rPr>
              <w:t>。</w:t>
            </w:r>
            <w:r>
              <w:rPr>
                <w:rFonts w:hint="default" w:ascii="Times New Roman" w:hAnsi="Times New Roman" w:eastAsia="宋体" w:cs="Times New Roman"/>
                <w:i w:val="0"/>
                <w:iCs w:val="0"/>
                <w:color w:val="000000"/>
                <w:sz w:val="24"/>
                <w:szCs w:val="24"/>
                <w:u w:val="none"/>
                <w:lang w:val="en-US" w:eastAsia="zh-CN"/>
              </w:rPr>
              <w:br w:type="textWrapping"/>
            </w:r>
            <w:r>
              <w:rPr>
                <w:rFonts w:hint="eastAsia" w:ascii="Times New Roman" w:hAnsi="Times New Roman" w:eastAsia="宋体" w:cs="Times New Roman"/>
                <w:i w:val="0"/>
                <w:iCs w:val="0"/>
                <w:color w:val="000000"/>
                <w:sz w:val="24"/>
                <w:szCs w:val="24"/>
                <w:u w:val="none"/>
                <w:lang w:val="en-US" w:eastAsia="zh-CN"/>
              </w:rPr>
              <w:t>（</w:t>
            </w:r>
            <w:r>
              <w:rPr>
                <w:rFonts w:hint="default" w:ascii="Times New Roman" w:hAnsi="Times New Roman" w:eastAsia="宋体" w:cs="Times New Roman"/>
                <w:i w:val="0"/>
                <w:iCs w:val="0"/>
                <w:color w:val="000000"/>
                <w:sz w:val="24"/>
                <w:szCs w:val="24"/>
                <w:u w:val="none"/>
                <w:lang w:val="en-US" w:eastAsia="zh-CN"/>
              </w:rPr>
              <w:t>2</w:t>
            </w:r>
            <w:r>
              <w:rPr>
                <w:rFonts w:hint="eastAsia" w:ascii="Times New Roman" w:hAnsi="Times New Roman" w:eastAsia="宋体" w:cs="Times New Roman"/>
                <w:i w:val="0"/>
                <w:iCs w:val="0"/>
                <w:color w:val="000000"/>
                <w:sz w:val="24"/>
                <w:szCs w:val="24"/>
                <w:u w:val="none"/>
                <w:lang w:val="en-US" w:eastAsia="zh-CN"/>
              </w:rPr>
              <w:t>）形成一套炼厂罐底油泥制备橡胶衍生品的工艺技术路线，产品主要指标满足：灰分</w:t>
            </w:r>
            <w:r>
              <w:rPr>
                <w:rFonts w:hint="default" w:ascii="Times New Roman" w:hAnsi="Times New Roman" w:eastAsia="宋体" w:cs="Times New Roman"/>
                <w:i w:val="0"/>
                <w:iCs w:val="0"/>
                <w:color w:val="000000"/>
                <w:sz w:val="24"/>
                <w:szCs w:val="24"/>
                <w:u w:val="none"/>
                <w:lang w:val="en-US" w:eastAsia="zh-CN"/>
              </w:rPr>
              <w:t>≤48%</w:t>
            </w:r>
            <w:r>
              <w:rPr>
                <w:rFonts w:hint="eastAsia" w:ascii="Times New Roman" w:hAnsi="Times New Roman" w:eastAsia="宋体" w:cs="Times New Roman"/>
                <w:i w:val="0"/>
                <w:iCs w:val="0"/>
                <w:color w:val="000000"/>
                <w:sz w:val="24"/>
                <w:szCs w:val="24"/>
                <w:u w:val="none"/>
                <w:lang w:val="en-US" w:eastAsia="zh-CN"/>
              </w:rPr>
              <w:t>，拉伸强度</w:t>
            </w:r>
            <w:r>
              <w:rPr>
                <w:rFonts w:hint="default" w:ascii="Times New Roman" w:hAnsi="Times New Roman" w:eastAsia="宋体" w:cs="Times New Roman"/>
                <w:i w:val="0"/>
                <w:iCs w:val="0"/>
                <w:color w:val="000000"/>
                <w:sz w:val="24"/>
                <w:szCs w:val="24"/>
                <w:u w:val="none"/>
                <w:lang w:val="en-US" w:eastAsia="zh-CN"/>
              </w:rPr>
              <w:t>≥4.0MPa</w:t>
            </w:r>
            <w:r>
              <w:rPr>
                <w:rFonts w:hint="eastAsia" w:ascii="Times New Roman" w:hAnsi="Times New Roman" w:eastAsia="宋体" w:cs="Times New Roman"/>
                <w:i w:val="0"/>
                <w:iCs w:val="0"/>
                <w:color w:val="000000"/>
                <w:sz w:val="24"/>
                <w:szCs w:val="24"/>
                <w:u w:val="none"/>
                <w:lang w:val="en-US" w:eastAsia="zh-CN"/>
              </w:rPr>
              <w:t>，拉断伸长率</w:t>
            </w:r>
            <w:r>
              <w:rPr>
                <w:rFonts w:hint="default" w:ascii="Times New Roman" w:hAnsi="Times New Roman" w:eastAsia="宋体" w:cs="Times New Roman"/>
                <w:i w:val="0"/>
                <w:iCs w:val="0"/>
                <w:color w:val="000000"/>
                <w:sz w:val="24"/>
                <w:szCs w:val="24"/>
                <w:u w:val="none"/>
                <w:lang w:val="en-US" w:eastAsia="zh-CN"/>
              </w:rPr>
              <w:t>≥240%</w:t>
            </w:r>
            <w:r>
              <w:rPr>
                <w:rFonts w:hint="eastAsia" w:ascii="Times New Roman" w:hAnsi="Times New Roman" w:eastAsia="宋体" w:cs="Times New Roman"/>
                <w:i w:val="0"/>
                <w:iCs w:val="0"/>
                <w:color w:val="000000"/>
                <w:sz w:val="24"/>
                <w:szCs w:val="24"/>
                <w:u w:val="none"/>
                <w:lang w:val="en-US" w:eastAsia="zh-CN"/>
              </w:rPr>
              <w:t>；罐底油泥资源化技术成本低于</w:t>
            </w:r>
            <w:r>
              <w:rPr>
                <w:rFonts w:hint="default" w:ascii="Times New Roman" w:hAnsi="Times New Roman" w:eastAsia="宋体" w:cs="Times New Roman"/>
                <w:i w:val="0"/>
                <w:iCs w:val="0"/>
                <w:color w:val="000000"/>
                <w:sz w:val="24"/>
                <w:szCs w:val="24"/>
                <w:u w:val="none"/>
                <w:lang w:val="en-US" w:eastAsia="zh-CN"/>
              </w:rPr>
              <w:t>800</w:t>
            </w:r>
            <w:r>
              <w:rPr>
                <w:rFonts w:hint="eastAsia" w:ascii="Times New Roman" w:hAnsi="Times New Roman" w:eastAsia="宋体" w:cs="Times New Roman"/>
                <w:i w:val="0"/>
                <w:iCs w:val="0"/>
                <w:color w:val="000000"/>
                <w:sz w:val="24"/>
                <w:szCs w:val="24"/>
                <w:u w:val="none"/>
                <w:lang w:val="en-US" w:eastAsia="zh-CN"/>
              </w:rPr>
              <w:t>元</w:t>
            </w:r>
            <w:r>
              <w:rPr>
                <w:rFonts w:hint="default" w:ascii="Times New Roman" w:hAnsi="Times New Roman" w:eastAsia="宋体" w:cs="Times New Roman"/>
                <w:i w:val="0"/>
                <w:iCs w:val="0"/>
                <w:color w:val="000000"/>
                <w:sz w:val="24"/>
                <w:szCs w:val="24"/>
                <w:u w:val="none"/>
                <w:lang w:val="en-US" w:eastAsia="zh-CN"/>
              </w:rPr>
              <w:t>/</w:t>
            </w:r>
            <w:r>
              <w:rPr>
                <w:rFonts w:hint="eastAsia" w:ascii="Times New Roman" w:hAnsi="Times New Roman" w:eastAsia="宋体" w:cs="Times New Roman"/>
                <w:i w:val="0"/>
                <w:iCs w:val="0"/>
                <w:color w:val="000000"/>
                <w:sz w:val="24"/>
                <w:szCs w:val="24"/>
                <w:u w:val="none"/>
                <w:lang w:val="en-US" w:eastAsia="zh-CN"/>
              </w:rPr>
              <w:t>吨。</w:t>
            </w:r>
          </w:p>
        </w:tc>
      </w:tr>
    </w:tbl>
    <w:p w14:paraId="37BC060A">
      <w:pPr>
        <w:keepNext w:val="0"/>
        <w:keepLines w:val="0"/>
        <w:pageBreakBefore w:val="0"/>
        <w:widowControl/>
        <w:kinsoku/>
        <w:wordWrap/>
        <w:overflowPunct/>
        <w:topLinePunct w:val="0"/>
        <w:autoSpaceDE/>
        <w:autoSpaceDN/>
        <w:bidi w:val="0"/>
        <w:adjustRightInd w:val="0"/>
        <w:snapToGrid w:val="0"/>
        <w:spacing w:line="360" w:lineRule="auto"/>
        <w:jc w:val="left"/>
        <w:textAlignment w:val="auto"/>
        <w:sectPr>
          <w:pgSz w:w="16838" w:h="11906" w:orient="landscape"/>
          <w:pgMar w:top="720" w:right="720" w:bottom="720" w:left="720" w:header="851" w:footer="992" w:gutter="0"/>
          <w:cols w:space="425" w:num="1"/>
          <w:docGrid w:type="linesAndChars" w:linePitch="312" w:charSpace="0"/>
        </w:sectPr>
      </w:pPr>
    </w:p>
    <w:p w14:paraId="38AFD33D">
      <w:pPr>
        <w:keepNext w:val="0"/>
        <w:keepLines w:val="0"/>
        <w:pageBreakBefore w:val="0"/>
        <w:kinsoku/>
        <w:wordWrap/>
        <w:overflowPunct/>
        <w:topLinePunct w:val="0"/>
        <w:autoSpaceDE/>
        <w:autoSpaceDN/>
        <w:bidi w:val="0"/>
        <w:spacing w:line="360" w:lineRule="auto"/>
        <w:textAlignment w:val="auto"/>
      </w:pPr>
    </w:p>
    <w:sectPr>
      <w:footerReference r:id="rId5" w:type="default"/>
      <w:pgSz w:w="11906" w:h="16838"/>
      <w:pgMar w:top="1418" w:right="1247" w:bottom="1985" w:left="1701"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B53263">
    <w:pPr>
      <w:pStyle w:val="6"/>
      <w:framePr w:wrap="around" w:vAnchor="text" w:hAnchor="margin" w:xAlign="center" w:y="1"/>
      <w:rPr>
        <w:rStyle w:val="13"/>
      </w:rPr>
    </w:pPr>
    <w:r>
      <w:rPr>
        <w:rStyle w:val="13"/>
      </w:rPr>
      <w:fldChar w:fldCharType="begin"/>
    </w:r>
    <w:r>
      <w:rPr>
        <w:rStyle w:val="13"/>
      </w:rPr>
      <w:instrText xml:space="preserve">PAGE  </w:instrText>
    </w:r>
    <w:r>
      <w:rPr>
        <w:rStyle w:val="13"/>
      </w:rPr>
      <w:fldChar w:fldCharType="separate"/>
    </w:r>
    <w:r>
      <w:rPr>
        <w:rStyle w:val="13"/>
      </w:rPr>
      <w:t>1</w:t>
    </w:r>
    <w:r>
      <w:rPr>
        <w:rStyle w:val="13"/>
      </w:rPr>
      <w:fldChar w:fldCharType="end"/>
    </w:r>
  </w:p>
  <w:p w14:paraId="6C71CCDB">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E39C67">
    <w:pPr>
      <w:pStyle w:val="6"/>
      <w:framePr w:wrap="around" w:vAnchor="text" w:hAnchor="margin" w:xAlign="center" w:y="1"/>
      <w:rPr>
        <w:rStyle w:val="13"/>
      </w:rPr>
    </w:pPr>
    <w:r>
      <w:rPr>
        <w:rStyle w:val="13"/>
      </w:rPr>
      <w:fldChar w:fldCharType="begin"/>
    </w:r>
    <w:r>
      <w:rPr>
        <w:rStyle w:val="13"/>
      </w:rPr>
      <w:instrText xml:space="preserve">PAGE  </w:instrText>
    </w:r>
    <w:r>
      <w:rPr>
        <w:rStyle w:val="13"/>
      </w:rPr>
      <w:fldChar w:fldCharType="end"/>
    </w:r>
  </w:p>
  <w:p w14:paraId="44E251B6">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D535D8">
    <w:pPr>
      <w:pStyle w:val="6"/>
      <w:framePr w:wrap="around" w:vAnchor="text" w:hAnchor="margin" w:xAlign="center" w:y="1"/>
      <w:rPr>
        <w:rStyle w:val="13"/>
      </w:rPr>
    </w:pPr>
    <w:r>
      <w:rPr>
        <w:rStyle w:val="13"/>
      </w:rPr>
      <w:fldChar w:fldCharType="begin"/>
    </w:r>
    <w:r>
      <w:rPr>
        <w:rStyle w:val="13"/>
      </w:rPr>
      <w:instrText xml:space="preserve">PAGE  </w:instrText>
    </w:r>
    <w:r>
      <w:rPr>
        <w:rStyle w:val="13"/>
      </w:rPr>
      <w:fldChar w:fldCharType="separate"/>
    </w:r>
    <w:r>
      <w:rPr>
        <w:rStyle w:val="13"/>
      </w:rPr>
      <w:t>7</w:t>
    </w:r>
    <w:r>
      <w:rPr>
        <w:rStyle w:val="13"/>
      </w:rPr>
      <w:fldChar w:fldCharType="end"/>
    </w:r>
  </w:p>
  <w:p w14:paraId="33A6F617">
    <w:pPr>
      <w:pStyle w:val="6"/>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revisionView w:markup="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7B58"/>
    <w:rsid w:val="000074D5"/>
    <w:rsid w:val="0001040A"/>
    <w:rsid w:val="00011066"/>
    <w:rsid w:val="00011B80"/>
    <w:rsid w:val="000152DF"/>
    <w:rsid w:val="000178CC"/>
    <w:rsid w:val="000270ED"/>
    <w:rsid w:val="00036D96"/>
    <w:rsid w:val="0005411B"/>
    <w:rsid w:val="00054F88"/>
    <w:rsid w:val="0005618F"/>
    <w:rsid w:val="00057EDE"/>
    <w:rsid w:val="0007457D"/>
    <w:rsid w:val="00083FBC"/>
    <w:rsid w:val="0009552A"/>
    <w:rsid w:val="00097546"/>
    <w:rsid w:val="000D5387"/>
    <w:rsid w:val="000D5DAB"/>
    <w:rsid w:val="000D69D8"/>
    <w:rsid w:val="000E030F"/>
    <w:rsid w:val="000E6BAE"/>
    <w:rsid w:val="000E7E89"/>
    <w:rsid w:val="000F391F"/>
    <w:rsid w:val="00102B5F"/>
    <w:rsid w:val="00146D09"/>
    <w:rsid w:val="00150723"/>
    <w:rsid w:val="001511B8"/>
    <w:rsid w:val="00153516"/>
    <w:rsid w:val="00160188"/>
    <w:rsid w:val="00162241"/>
    <w:rsid w:val="00163F57"/>
    <w:rsid w:val="00184D23"/>
    <w:rsid w:val="00195A2E"/>
    <w:rsid w:val="00197D28"/>
    <w:rsid w:val="001A29EB"/>
    <w:rsid w:val="001C4E2E"/>
    <w:rsid w:val="001C630B"/>
    <w:rsid w:val="001D2050"/>
    <w:rsid w:val="00201D7E"/>
    <w:rsid w:val="00234EF0"/>
    <w:rsid w:val="00247E4D"/>
    <w:rsid w:val="00250725"/>
    <w:rsid w:val="0029462D"/>
    <w:rsid w:val="002A0FEE"/>
    <w:rsid w:val="002A5795"/>
    <w:rsid w:val="002C249F"/>
    <w:rsid w:val="002D08F6"/>
    <w:rsid w:val="002D6C04"/>
    <w:rsid w:val="002E3A84"/>
    <w:rsid w:val="00302346"/>
    <w:rsid w:val="00312A72"/>
    <w:rsid w:val="00324433"/>
    <w:rsid w:val="0033201B"/>
    <w:rsid w:val="003344A0"/>
    <w:rsid w:val="00336290"/>
    <w:rsid w:val="00343455"/>
    <w:rsid w:val="00346766"/>
    <w:rsid w:val="003531AC"/>
    <w:rsid w:val="00355A59"/>
    <w:rsid w:val="003577E2"/>
    <w:rsid w:val="00363333"/>
    <w:rsid w:val="00365279"/>
    <w:rsid w:val="0037519B"/>
    <w:rsid w:val="003771E7"/>
    <w:rsid w:val="0038414D"/>
    <w:rsid w:val="00392ABE"/>
    <w:rsid w:val="0039393C"/>
    <w:rsid w:val="003A27AA"/>
    <w:rsid w:val="003B0979"/>
    <w:rsid w:val="003B138B"/>
    <w:rsid w:val="003B5F96"/>
    <w:rsid w:val="003E18D8"/>
    <w:rsid w:val="003E390A"/>
    <w:rsid w:val="003E39D0"/>
    <w:rsid w:val="003F1D95"/>
    <w:rsid w:val="003F2CB2"/>
    <w:rsid w:val="003F3F46"/>
    <w:rsid w:val="00406971"/>
    <w:rsid w:val="00421721"/>
    <w:rsid w:val="00427B58"/>
    <w:rsid w:val="0045113C"/>
    <w:rsid w:val="0045532A"/>
    <w:rsid w:val="004656D5"/>
    <w:rsid w:val="00471F71"/>
    <w:rsid w:val="004A7263"/>
    <w:rsid w:val="004B08E8"/>
    <w:rsid w:val="004B768E"/>
    <w:rsid w:val="004C19E7"/>
    <w:rsid w:val="004C2715"/>
    <w:rsid w:val="004D5208"/>
    <w:rsid w:val="00502CC3"/>
    <w:rsid w:val="0052326B"/>
    <w:rsid w:val="005314DC"/>
    <w:rsid w:val="00551346"/>
    <w:rsid w:val="00557922"/>
    <w:rsid w:val="00562158"/>
    <w:rsid w:val="0059555A"/>
    <w:rsid w:val="00595BE3"/>
    <w:rsid w:val="005D3E5C"/>
    <w:rsid w:val="005F54BA"/>
    <w:rsid w:val="00620580"/>
    <w:rsid w:val="00620D6D"/>
    <w:rsid w:val="00623A85"/>
    <w:rsid w:val="00627858"/>
    <w:rsid w:val="006436F9"/>
    <w:rsid w:val="00643977"/>
    <w:rsid w:val="00645B59"/>
    <w:rsid w:val="00647A80"/>
    <w:rsid w:val="006549FD"/>
    <w:rsid w:val="00655384"/>
    <w:rsid w:val="00657E78"/>
    <w:rsid w:val="0066500D"/>
    <w:rsid w:val="00667A54"/>
    <w:rsid w:val="006709A4"/>
    <w:rsid w:val="00675DB8"/>
    <w:rsid w:val="00686B27"/>
    <w:rsid w:val="006920F1"/>
    <w:rsid w:val="006A38C2"/>
    <w:rsid w:val="006C71AD"/>
    <w:rsid w:val="006D4FEF"/>
    <w:rsid w:val="00710799"/>
    <w:rsid w:val="007621BB"/>
    <w:rsid w:val="00765370"/>
    <w:rsid w:val="007911D2"/>
    <w:rsid w:val="007967F8"/>
    <w:rsid w:val="007A7DE8"/>
    <w:rsid w:val="007B35A6"/>
    <w:rsid w:val="007C60BA"/>
    <w:rsid w:val="007D69C6"/>
    <w:rsid w:val="007F13AB"/>
    <w:rsid w:val="007F3C07"/>
    <w:rsid w:val="00807566"/>
    <w:rsid w:val="00811AAE"/>
    <w:rsid w:val="00826C27"/>
    <w:rsid w:val="008314B0"/>
    <w:rsid w:val="0083254A"/>
    <w:rsid w:val="00833482"/>
    <w:rsid w:val="00837E8A"/>
    <w:rsid w:val="00846E3D"/>
    <w:rsid w:val="00850B78"/>
    <w:rsid w:val="00851BFB"/>
    <w:rsid w:val="008804FC"/>
    <w:rsid w:val="00893D90"/>
    <w:rsid w:val="008B4353"/>
    <w:rsid w:val="008B49F6"/>
    <w:rsid w:val="008C2DA0"/>
    <w:rsid w:val="008C6E01"/>
    <w:rsid w:val="008D3D09"/>
    <w:rsid w:val="008E1FD1"/>
    <w:rsid w:val="008E35BA"/>
    <w:rsid w:val="008E3C90"/>
    <w:rsid w:val="008E5EE8"/>
    <w:rsid w:val="008E7807"/>
    <w:rsid w:val="008F2DFF"/>
    <w:rsid w:val="008F3358"/>
    <w:rsid w:val="008F427A"/>
    <w:rsid w:val="008F51FB"/>
    <w:rsid w:val="009011FB"/>
    <w:rsid w:val="0090367D"/>
    <w:rsid w:val="0093254C"/>
    <w:rsid w:val="00944B0B"/>
    <w:rsid w:val="009702BE"/>
    <w:rsid w:val="00970559"/>
    <w:rsid w:val="00970DE3"/>
    <w:rsid w:val="00991EB8"/>
    <w:rsid w:val="009922AC"/>
    <w:rsid w:val="009A4BDF"/>
    <w:rsid w:val="009A5BF9"/>
    <w:rsid w:val="009B6359"/>
    <w:rsid w:val="009C2300"/>
    <w:rsid w:val="009E5E0B"/>
    <w:rsid w:val="00A04980"/>
    <w:rsid w:val="00A311C5"/>
    <w:rsid w:val="00A35217"/>
    <w:rsid w:val="00A826C6"/>
    <w:rsid w:val="00AB2AFE"/>
    <w:rsid w:val="00AB5057"/>
    <w:rsid w:val="00AC2A6B"/>
    <w:rsid w:val="00AD7CA7"/>
    <w:rsid w:val="00AE3015"/>
    <w:rsid w:val="00AE63AA"/>
    <w:rsid w:val="00AF178D"/>
    <w:rsid w:val="00AF706F"/>
    <w:rsid w:val="00B60760"/>
    <w:rsid w:val="00C00B89"/>
    <w:rsid w:val="00C141AB"/>
    <w:rsid w:val="00C31B20"/>
    <w:rsid w:val="00C33F71"/>
    <w:rsid w:val="00C65E72"/>
    <w:rsid w:val="00C6678E"/>
    <w:rsid w:val="00C714CF"/>
    <w:rsid w:val="00C97225"/>
    <w:rsid w:val="00CC7EBC"/>
    <w:rsid w:val="00CD2E15"/>
    <w:rsid w:val="00CD72C5"/>
    <w:rsid w:val="00CE3A93"/>
    <w:rsid w:val="00CE67FD"/>
    <w:rsid w:val="00D023A9"/>
    <w:rsid w:val="00D2061E"/>
    <w:rsid w:val="00D45A93"/>
    <w:rsid w:val="00D75493"/>
    <w:rsid w:val="00D820F8"/>
    <w:rsid w:val="00D84AEE"/>
    <w:rsid w:val="00D84CC5"/>
    <w:rsid w:val="00D90732"/>
    <w:rsid w:val="00DA0538"/>
    <w:rsid w:val="00DC00CD"/>
    <w:rsid w:val="00E03335"/>
    <w:rsid w:val="00E14064"/>
    <w:rsid w:val="00E25657"/>
    <w:rsid w:val="00E41CBD"/>
    <w:rsid w:val="00E52769"/>
    <w:rsid w:val="00E64F32"/>
    <w:rsid w:val="00E652B4"/>
    <w:rsid w:val="00E73150"/>
    <w:rsid w:val="00E80FB4"/>
    <w:rsid w:val="00E81F80"/>
    <w:rsid w:val="00E820CC"/>
    <w:rsid w:val="00E82688"/>
    <w:rsid w:val="00E84F8E"/>
    <w:rsid w:val="00E976E2"/>
    <w:rsid w:val="00F013DE"/>
    <w:rsid w:val="00F06808"/>
    <w:rsid w:val="00F079D3"/>
    <w:rsid w:val="00F10387"/>
    <w:rsid w:val="00F10DAA"/>
    <w:rsid w:val="00F11F7B"/>
    <w:rsid w:val="00F16B3C"/>
    <w:rsid w:val="00F36A48"/>
    <w:rsid w:val="00F61E1B"/>
    <w:rsid w:val="00F7579A"/>
    <w:rsid w:val="00F92B87"/>
    <w:rsid w:val="00FA6988"/>
    <w:rsid w:val="00FB3762"/>
    <w:rsid w:val="00FC08DB"/>
    <w:rsid w:val="00FC4E3A"/>
    <w:rsid w:val="00FC5C9A"/>
    <w:rsid w:val="00FC6D60"/>
    <w:rsid w:val="05F30D52"/>
    <w:rsid w:val="15007076"/>
    <w:rsid w:val="17360DEF"/>
    <w:rsid w:val="17672253"/>
    <w:rsid w:val="19C135FD"/>
    <w:rsid w:val="1C964CCC"/>
    <w:rsid w:val="1D116E80"/>
    <w:rsid w:val="1FAF5B3A"/>
    <w:rsid w:val="22B174C6"/>
    <w:rsid w:val="23B87450"/>
    <w:rsid w:val="24321D84"/>
    <w:rsid w:val="29305C0D"/>
    <w:rsid w:val="2D391752"/>
    <w:rsid w:val="351A6C4B"/>
    <w:rsid w:val="38402B94"/>
    <w:rsid w:val="42353396"/>
    <w:rsid w:val="42C31E75"/>
    <w:rsid w:val="43BD4E4E"/>
    <w:rsid w:val="46B37569"/>
    <w:rsid w:val="56130B60"/>
    <w:rsid w:val="61C83E7A"/>
    <w:rsid w:val="6C620B35"/>
    <w:rsid w:val="6CFC0A27"/>
    <w:rsid w:val="7AF86F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7"/>
    <w:qFormat/>
    <w:uiPriority w:val="0"/>
    <w:pPr>
      <w:jc w:val="left"/>
    </w:pPr>
  </w:style>
  <w:style w:type="paragraph" w:styleId="3">
    <w:name w:val="Body Text Indent"/>
    <w:basedOn w:val="1"/>
    <w:qFormat/>
    <w:uiPriority w:val="0"/>
    <w:pPr>
      <w:spacing w:line="300" w:lineRule="auto"/>
      <w:ind w:firstLine="600" w:firstLineChars="200"/>
    </w:pPr>
    <w:rPr>
      <w:rFonts w:ascii="仿宋_GB2312" w:eastAsia="仿宋_GB2312"/>
      <w:bCs/>
      <w:sz w:val="30"/>
      <w:szCs w:val="20"/>
    </w:rPr>
  </w:style>
  <w:style w:type="paragraph" w:styleId="4">
    <w:name w:val="Plain Text"/>
    <w:basedOn w:val="1"/>
    <w:qFormat/>
    <w:uiPriority w:val="0"/>
    <w:rPr>
      <w:rFonts w:ascii="宋体" w:hAnsi="Courier New"/>
      <w:szCs w:val="20"/>
    </w:rPr>
  </w:style>
  <w:style w:type="paragraph" w:styleId="5">
    <w:name w:val="Balloon Text"/>
    <w:basedOn w:val="1"/>
    <w:semiHidden/>
    <w:qFormat/>
    <w:uiPriority w:val="0"/>
    <w:rPr>
      <w:sz w:val="18"/>
      <w:szCs w:val="18"/>
    </w:rPr>
  </w:style>
  <w:style w:type="paragraph" w:styleId="6">
    <w:name w:val="footer"/>
    <w:basedOn w:val="1"/>
    <w:qFormat/>
    <w:uiPriority w:val="0"/>
    <w:pPr>
      <w:tabs>
        <w:tab w:val="center" w:pos="4153"/>
        <w:tab w:val="right" w:pos="8306"/>
      </w:tabs>
      <w:adjustRightInd w:val="0"/>
      <w:spacing w:line="240" w:lineRule="atLeast"/>
      <w:jc w:val="left"/>
      <w:textAlignment w:val="baseline"/>
    </w:pPr>
    <w:rPr>
      <w:kern w:val="0"/>
      <w:sz w:val="18"/>
      <w:szCs w:val="20"/>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Title"/>
    <w:basedOn w:val="1"/>
    <w:next w:val="1"/>
    <w:qFormat/>
    <w:uiPriority w:val="0"/>
    <w:pPr>
      <w:spacing w:before="240" w:after="60"/>
      <w:jc w:val="center"/>
      <w:outlineLvl w:val="0"/>
    </w:pPr>
    <w:rPr>
      <w:rFonts w:ascii="Cambria" w:hAnsi="Cambria" w:cs="Times New Roman"/>
      <w:b/>
      <w:bCs/>
      <w:sz w:val="32"/>
      <w:szCs w:val="32"/>
    </w:rPr>
  </w:style>
  <w:style w:type="paragraph" w:styleId="9">
    <w:name w:val="annotation subject"/>
    <w:basedOn w:val="2"/>
    <w:next w:val="2"/>
    <w:link w:val="18"/>
    <w:qFormat/>
    <w:uiPriority w:val="0"/>
    <w:rPr>
      <w:b/>
      <w:bCs/>
    </w:rPr>
  </w:style>
  <w:style w:type="table" w:styleId="11">
    <w:name w:val="Table Grid"/>
    <w:basedOn w:val="10"/>
    <w:qFormat/>
    <w:uiPriority w:val="39"/>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page number"/>
    <w:basedOn w:val="12"/>
    <w:qFormat/>
    <w:uiPriority w:val="0"/>
  </w:style>
  <w:style w:type="character" w:styleId="14">
    <w:name w:val="annotation reference"/>
    <w:qFormat/>
    <w:uiPriority w:val="0"/>
    <w:rPr>
      <w:sz w:val="21"/>
      <w:szCs w:val="21"/>
    </w:rPr>
  </w:style>
  <w:style w:type="paragraph" w:customStyle="1" w:styleId="15">
    <w:name w:val="标题4"/>
    <w:basedOn w:val="1"/>
    <w:qFormat/>
    <w:uiPriority w:val="0"/>
    <w:pPr>
      <w:widowControl/>
      <w:snapToGrid w:val="0"/>
      <w:spacing w:line="500" w:lineRule="exact"/>
      <w:ind w:firstLine="641"/>
      <w:jc w:val="left"/>
    </w:pPr>
    <w:rPr>
      <w:rFonts w:ascii="Verdana" w:hAnsi="Verdana" w:eastAsia="黑体"/>
      <w:b/>
      <w:kern w:val="0"/>
      <w:sz w:val="32"/>
      <w:szCs w:val="32"/>
      <w:lang w:eastAsia="en-US"/>
    </w:rPr>
  </w:style>
  <w:style w:type="paragraph" w:customStyle="1" w:styleId="16">
    <w:name w:val="Char Char Char Char"/>
    <w:basedOn w:val="1"/>
    <w:qFormat/>
    <w:uiPriority w:val="0"/>
    <w:pPr>
      <w:widowControl/>
      <w:spacing w:after="160" w:line="240" w:lineRule="exact"/>
      <w:jc w:val="left"/>
    </w:pPr>
    <w:rPr>
      <w:rFonts w:ascii="Verdana" w:hAnsi="Verdana"/>
      <w:kern w:val="0"/>
      <w:sz w:val="20"/>
      <w:szCs w:val="20"/>
      <w:lang w:eastAsia="en-US"/>
    </w:rPr>
  </w:style>
  <w:style w:type="character" w:customStyle="1" w:styleId="17">
    <w:name w:val="批注文字 Char"/>
    <w:link w:val="2"/>
    <w:qFormat/>
    <w:uiPriority w:val="0"/>
    <w:rPr>
      <w:kern w:val="2"/>
      <w:sz w:val="21"/>
      <w:szCs w:val="24"/>
    </w:rPr>
  </w:style>
  <w:style w:type="character" w:customStyle="1" w:styleId="18">
    <w:name w:val="批注主题 Char"/>
    <w:link w:val="9"/>
    <w:qFormat/>
    <w:uiPriority w:val="0"/>
    <w:rPr>
      <w:b/>
      <w:bCs/>
      <w:kern w:val="2"/>
      <w:sz w:val="21"/>
      <w:szCs w:val="24"/>
    </w:rPr>
  </w:style>
  <w:style w:type="paragraph" w:customStyle="1" w:styleId="19">
    <w:name w:val="Revision"/>
    <w:hidden/>
    <w:semiHidden/>
    <w:qFormat/>
    <w:uiPriority w:val="99"/>
    <w:rPr>
      <w:rFonts w:ascii="Times New Roman" w:hAnsi="Times New Roman" w:eastAsia="宋体" w:cs="Times New Roman"/>
      <w:kern w:val="2"/>
      <w:sz w:val="21"/>
      <w:szCs w:val="24"/>
      <w:lang w:val="en-US" w:eastAsia="zh-CN" w:bidi="ar-SA"/>
    </w:rPr>
  </w:style>
  <w:style w:type="character" w:customStyle="1" w:styleId="20">
    <w:name w:val="font41"/>
    <w:basedOn w:val="12"/>
    <w:qFormat/>
    <w:uiPriority w:val="0"/>
    <w:rPr>
      <w:rFonts w:ascii="黑体" w:hAnsi="宋体" w:eastAsia="黑体" w:cs="黑体"/>
      <w:color w:val="000000"/>
      <w:sz w:val="22"/>
      <w:szCs w:val="22"/>
      <w:u w:val="none"/>
    </w:rPr>
  </w:style>
  <w:style w:type="character" w:customStyle="1" w:styleId="21">
    <w:name w:val="font11"/>
    <w:basedOn w:val="12"/>
    <w:qFormat/>
    <w:uiPriority w:val="0"/>
    <w:rPr>
      <w:rFonts w:hint="eastAsia" w:ascii="宋体" w:hAnsi="宋体" w:eastAsia="宋体" w:cs="宋体"/>
      <w:color w:val="000000"/>
      <w:sz w:val="22"/>
      <w:szCs w:val="22"/>
      <w:u w:val="none"/>
    </w:rPr>
  </w:style>
  <w:style w:type="character" w:customStyle="1" w:styleId="22">
    <w:name w:val="font01"/>
    <w:basedOn w:val="12"/>
    <w:qFormat/>
    <w:uiPriority w:val="0"/>
    <w:rPr>
      <w:rFonts w:hint="eastAsia" w:ascii="宋体" w:hAnsi="宋体" w:eastAsia="宋体" w:cs="宋体"/>
      <w:color w:val="000000"/>
      <w:sz w:val="22"/>
      <w:szCs w:val="22"/>
      <w:u w:val="none"/>
    </w:rPr>
  </w:style>
  <w:style w:type="character" w:customStyle="1" w:styleId="23">
    <w:name w:val="font31"/>
    <w:basedOn w:val="12"/>
    <w:qFormat/>
    <w:uiPriority w:val="0"/>
    <w:rPr>
      <w:rFonts w:hint="default" w:ascii="Times New Roman" w:hAnsi="Times New Roman" w:cs="Times New Roman"/>
      <w:color w:val="000000"/>
      <w:sz w:val="22"/>
      <w:szCs w:val="22"/>
      <w:u w:val="none"/>
    </w:rPr>
  </w:style>
  <w:style w:type="character" w:customStyle="1" w:styleId="24">
    <w:name w:val="font51"/>
    <w:basedOn w:val="12"/>
    <w:qFormat/>
    <w:uiPriority w:val="0"/>
    <w:rPr>
      <w:rFonts w:hint="default" w:ascii="Times New Roman" w:hAnsi="Times New Roman" w:cs="Times New Roman"/>
      <w:color w:val="000000"/>
      <w:sz w:val="22"/>
      <w:szCs w:val="22"/>
      <w:u w:val="none"/>
    </w:rPr>
  </w:style>
  <w:style w:type="character" w:customStyle="1" w:styleId="25">
    <w:name w:val="font61"/>
    <w:basedOn w:val="12"/>
    <w:qFormat/>
    <w:uiPriority w:val="0"/>
    <w:rPr>
      <w:rFonts w:ascii="仿宋_GB2312" w:eastAsia="仿宋_GB2312" w:cs="仿宋_GB2312"/>
      <w:b/>
      <w:bCs/>
      <w:color w:val="000000"/>
      <w:sz w:val="40"/>
      <w:szCs w:val="40"/>
      <w:u w:val="none"/>
    </w:rPr>
  </w:style>
  <w:style w:type="character" w:customStyle="1" w:styleId="26">
    <w:name w:val="font71"/>
    <w:basedOn w:val="12"/>
    <w:qFormat/>
    <w:uiPriority w:val="0"/>
    <w:rPr>
      <w:rFonts w:hint="default" w:ascii="仿宋_GB2312" w:eastAsia="仿宋_GB2312" w:cs="仿宋_GB2312"/>
      <w:b/>
      <w:bCs/>
      <w:color w:val="000000"/>
      <w:sz w:val="24"/>
      <w:szCs w:val="24"/>
      <w:u w:val="none"/>
    </w:rPr>
  </w:style>
  <w:style w:type="character" w:customStyle="1" w:styleId="27">
    <w:name w:val="font21"/>
    <w:basedOn w:val="12"/>
    <w:qFormat/>
    <w:uiPriority w:val="0"/>
    <w:rPr>
      <w:rFonts w:hint="default" w:ascii="Times New Roman" w:hAnsi="Times New Roman" w:cs="Times New Roman"/>
      <w:color w:val="000000"/>
      <w:sz w:val="24"/>
      <w:szCs w:val="24"/>
      <w:u w:val="none"/>
    </w:rPr>
  </w:style>
  <w:style w:type="character" w:customStyle="1" w:styleId="28">
    <w:name w:val="font81"/>
    <w:basedOn w:val="12"/>
    <w:qFormat/>
    <w:uiPriority w:val="0"/>
    <w:rPr>
      <w:rFonts w:hint="default" w:ascii="Times New Roman" w:hAnsi="Times New Roman" w:cs="Times New Roman"/>
      <w:color w:val="000000"/>
      <w:sz w:val="24"/>
      <w:szCs w:val="24"/>
      <w:u w:val="none"/>
      <w:vertAlign w:val="subscript"/>
    </w:rPr>
  </w:style>
  <w:style w:type="character" w:customStyle="1" w:styleId="29">
    <w:name w:val="font91"/>
    <w:basedOn w:val="12"/>
    <w:qFormat/>
    <w:uiPriority w:val="0"/>
    <w:rPr>
      <w:rFonts w:hint="default" w:ascii="仿宋_GB2312" w:eastAsia="仿宋_GB2312" w:cs="仿宋_GB2312"/>
      <w:color w:val="000000"/>
      <w:sz w:val="24"/>
      <w:szCs w:val="24"/>
      <w:u w:val="none"/>
    </w:rPr>
  </w:style>
  <w:style w:type="character" w:customStyle="1" w:styleId="30">
    <w:name w:val="font101"/>
    <w:basedOn w:val="12"/>
    <w:qFormat/>
    <w:uiPriority w:val="0"/>
    <w:rPr>
      <w:rFonts w:hint="default" w:ascii="Times New Roman" w:hAnsi="Times New Roman" w:cs="Times New Roman"/>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3.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文档" ma:contentTypeID="0x010100141487E007B4A14097A550CC09806FF6" ma:contentTypeVersion="1" ma:contentTypeDescription="新建文档。" ma:contentTypeScope="" ma:versionID="4fbde41f97aa98c9acef362b2d21487f">
  <xsd:schema xmlns:xsd="http://www.w3.org/2001/XMLSchema" xmlns:xs="http://www.w3.org/2001/XMLSchema" xmlns:p="http://schemas.microsoft.com/office/2006/metadata/properties" xmlns:ns1="http://schemas.microsoft.com/sharepoint/v3" targetNamespace="http://schemas.microsoft.com/office/2006/metadata/properties" ma:root="true" ma:fieldsID="5107b0345c29e57748057d300629ffc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计划开始日期" ma:description="“计划开始日期”是由“发布”功能创建的网站栏。它用于指定第一次向网站访问者显示此页面的日期和时间。" ma:hidden="true" ma:internalName="PublishingStartDate">
      <xsd:simpleType>
        <xsd:restriction base="dms:Unknown"/>
      </xsd:simpleType>
    </xsd:element>
    <xsd:element name="PublishingExpirationDate" ma:index="9" nillable="true" ma:displayName="计划结束日期" ma:description="“计划结束日期”是由“发布”功能创建的网站栏。它用于指定不再向网站访问者显示此页面的日期和时间。"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EABB550-2468-49F8-B2F5-D2BB4B749EC5}"/>
</file>

<file path=customXml/itemProps2.xml><?xml version="1.0" encoding="utf-8"?>
<ds:datastoreItem xmlns:ds="http://schemas.openxmlformats.org/officeDocument/2006/customXml" ds:itemID="{E2C75B89-1441-4FC0-A6FF-F7C795604062}"/>
</file>

<file path=customXml/itemProps3.xml><?xml version="1.0" encoding="utf-8"?>
<ds:datastoreItem xmlns:ds="http://schemas.openxmlformats.org/officeDocument/2006/customXml" ds:itemID="{66BD8E6B-AB40-4EF6-9B24-39295E2ACF06}"/>
</file>

<file path=customXml/itemProps4.xml><?xml version="1.0" encoding="utf-8"?>
<ds:datastoreItem xmlns:ds="http://schemas.openxmlformats.org/officeDocument/2006/customXml" ds:itemID="{A1ADDB86-6E8A-41FC-80AF-F8045D09DB3F}"/>
</file>

<file path=docProps/app.xml><?xml version="1.0" encoding="utf-8"?>
<Properties xmlns="http://schemas.openxmlformats.org/officeDocument/2006/extended-properties" xmlns:vt="http://schemas.openxmlformats.org/officeDocument/2006/docPropsVTypes">
  <Template>Normal.dotm</Template>
  <Company>Sinopec</Company>
  <Pages>11</Pages>
  <Words>858</Words>
  <Characters>4897</Characters>
  <Lines>40</Lines>
  <Paragraphs>11</Paragraphs>
  <TotalTime>18</TotalTime>
  <ScaleCrop>false</ScaleCrop>
  <LinksUpToDate>false</LinksUpToDate>
  <CharactersWithSpaces>5744</CharactersWithSpaces>
  <Application>WPS Office_12.8.2.18606_F1E327BC-269C-435d-A152-05C5408002CA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mxh</dc:creator>
  <cp:lastModifiedBy>陈子佩</cp:lastModifiedBy>
  <cp:revision>5</cp:revision>
  <cp:lastPrinted>2022-03-23T01:17:00Z</cp:lastPrinted>
  <dcterms:created xsi:type="dcterms:W3CDTF">2022-03-23T01:15:00Z</dcterms:created>
  <dcterms:modified xsi:type="dcterms:W3CDTF">2025-12-22T02:33:22Z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0x010100141487E007B4A14097A550CC09806FF6</vt:lpwstr>
  </property>
  <property fmtid="{D5CDD505-2E9C-101B-9397-08002B2CF9AE}" pid="3" name="KSOProductBuildVer">
    <vt:lpwstr>2052-12.8.2.18606</vt:lpwstr>
  </property>
  <property fmtid="{D5CDD505-2E9C-101B-9397-08002B2CF9AE}" pid="4" name="ICV">
    <vt:lpwstr>276E4E00A95A46A7B4183BB7F62F08D5_13</vt:lpwstr>
  </property>
</Properties>
</file>